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A5D5E" w14:textId="72514E55" w:rsidR="001F40FA" w:rsidRPr="0074619C" w:rsidRDefault="007C04F3" w:rsidP="008B56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GoBack"/>
      <w:bookmarkEnd w:id="0"/>
      <w:r w:rsidRPr="0074619C">
        <w:rPr>
          <w:rFonts w:ascii="Times New Roman" w:hAnsi="Times New Roman" w:cs="Times New Roman"/>
          <w:b/>
          <w:bCs/>
          <w:color w:val="000000" w:themeColor="text1"/>
        </w:rPr>
        <w:t>PORTARIA NORMATIVA CAU/SP N°</w:t>
      </w:r>
      <w:r w:rsidR="00000DF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7C1839">
        <w:rPr>
          <w:rFonts w:ascii="Times New Roman" w:hAnsi="Times New Roman" w:cs="Times New Roman"/>
          <w:b/>
          <w:bCs/>
          <w:color w:val="000000" w:themeColor="text1"/>
        </w:rPr>
        <w:t>201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>, DE</w:t>
      </w:r>
      <w:r w:rsidR="00000DF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7C1839">
        <w:rPr>
          <w:rFonts w:ascii="Times New Roman" w:hAnsi="Times New Roman" w:cs="Times New Roman"/>
          <w:b/>
          <w:bCs/>
          <w:color w:val="000000" w:themeColor="text1"/>
        </w:rPr>
        <w:t>03</w:t>
      </w:r>
      <w:r w:rsidRPr="00342DB2">
        <w:rPr>
          <w:rFonts w:ascii="Times New Roman" w:hAnsi="Times New Roman" w:cs="Times New Roman"/>
          <w:b/>
          <w:bCs/>
        </w:rPr>
        <w:t xml:space="preserve"> 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 xml:space="preserve">DE </w:t>
      </w:r>
      <w:r w:rsidR="007C1839">
        <w:rPr>
          <w:rFonts w:ascii="Times New Roman" w:hAnsi="Times New Roman" w:cs="Times New Roman"/>
          <w:b/>
          <w:bCs/>
          <w:color w:val="000000" w:themeColor="text1"/>
        </w:rPr>
        <w:t>DEZE</w:t>
      </w:r>
      <w:r w:rsidR="001C2F8B" w:rsidRPr="00000DFC">
        <w:rPr>
          <w:rFonts w:ascii="Times New Roman" w:hAnsi="Times New Roman" w:cs="Times New Roman"/>
          <w:b/>
          <w:bCs/>
          <w:color w:val="000000" w:themeColor="text1"/>
        </w:rPr>
        <w:t>MBRO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 xml:space="preserve"> DE 2021.</w:t>
      </w:r>
    </w:p>
    <w:p w14:paraId="466CBD0F" w14:textId="77777777" w:rsidR="008543D7" w:rsidRPr="0074619C" w:rsidRDefault="008543D7" w:rsidP="008B56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CC1D781" w14:textId="7A765F95" w:rsidR="007C1839" w:rsidRPr="007C1839" w:rsidRDefault="007C1839" w:rsidP="00C36538">
      <w:pPr>
        <w:pStyle w:val="Default"/>
        <w:ind w:left="4536"/>
        <w:jc w:val="both"/>
        <w:rPr>
          <w:color w:val="000000" w:themeColor="text1"/>
          <w:sz w:val="22"/>
          <w:szCs w:val="22"/>
        </w:rPr>
      </w:pPr>
      <w:r w:rsidRPr="007C1839">
        <w:rPr>
          <w:color w:val="000000" w:themeColor="text1"/>
          <w:sz w:val="22"/>
          <w:szCs w:val="22"/>
        </w:rPr>
        <w:t xml:space="preserve">Altera dispositivos da Portaria Normativa CAU/SP n.º 89, de 14 de abril de 2016, que regulamenta, </w:t>
      </w:r>
      <w:r w:rsidRPr="007C1839">
        <w:rPr>
          <w:sz w:val="22"/>
          <w:szCs w:val="22"/>
        </w:rPr>
        <w:t>no âmbito do Conselho de Arquitetura e Urbanismo de São Paulo – CAU/SP, em conformidade com a Lei n° 12.527, de 18 de novembro de 2011, com o Decreto n° 7.724, de 16 de maio de 2012, e com a Portaria Normativa nº 44, de 10 de março de 2016, do CAU/BR, o acesso a informações, e dá outras providências</w:t>
      </w:r>
      <w:r>
        <w:rPr>
          <w:sz w:val="22"/>
          <w:szCs w:val="22"/>
        </w:rPr>
        <w:t>.</w:t>
      </w:r>
    </w:p>
    <w:p w14:paraId="28765AA0" w14:textId="77777777" w:rsidR="007C1839" w:rsidRDefault="007C1839" w:rsidP="00C36538">
      <w:pPr>
        <w:pStyle w:val="Default"/>
        <w:ind w:left="4536"/>
        <w:jc w:val="both"/>
        <w:rPr>
          <w:color w:val="000000" w:themeColor="text1"/>
          <w:sz w:val="22"/>
          <w:szCs w:val="22"/>
        </w:rPr>
      </w:pPr>
    </w:p>
    <w:p w14:paraId="56F66AA8" w14:textId="14716D7C" w:rsidR="007C04F3" w:rsidRPr="0074619C" w:rsidRDefault="007C04F3" w:rsidP="008B56C5">
      <w:pPr>
        <w:pStyle w:val="Default"/>
        <w:jc w:val="both"/>
        <w:rPr>
          <w:color w:val="000000" w:themeColor="text1"/>
          <w:sz w:val="22"/>
          <w:szCs w:val="22"/>
        </w:rPr>
      </w:pPr>
      <w:r w:rsidRPr="0074619C">
        <w:rPr>
          <w:color w:val="000000" w:themeColor="text1"/>
          <w:sz w:val="22"/>
          <w:szCs w:val="22"/>
        </w:rPr>
        <w:t>A Presidente do Conselho de Arquitetura e Urbanismo de São Paulo – CAU/SP, no uso das atribuições que lhe conferem o art. 35 da Lei n° 12.378, de 31 de dezembro de 2010, e o art. 155 do Regimento Interno do CAU/SP e, ainda,</w:t>
      </w:r>
    </w:p>
    <w:p w14:paraId="5E81DBE7" w14:textId="77777777" w:rsidR="007C04F3" w:rsidRPr="0074619C" w:rsidRDefault="007C04F3" w:rsidP="008B56C5">
      <w:pPr>
        <w:pStyle w:val="Default"/>
        <w:jc w:val="both"/>
        <w:rPr>
          <w:color w:val="000000" w:themeColor="text1"/>
          <w:sz w:val="22"/>
          <w:szCs w:val="22"/>
        </w:rPr>
      </w:pPr>
    </w:p>
    <w:p w14:paraId="754D9A4B" w14:textId="4AFF1E8A" w:rsidR="00CB6AA0" w:rsidRDefault="004B253F" w:rsidP="004B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B253F">
        <w:rPr>
          <w:rFonts w:ascii="Times New Roman" w:hAnsi="Times New Roman" w:cs="Times New Roman"/>
          <w:iCs/>
          <w:color w:val="000000"/>
        </w:rPr>
        <w:t xml:space="preserve">Considerando a </w:t>
      </w:r>
      <w:r w:rsidRPr="004B253F">
        <w:rPr>
          <w:rFonts w:ascii="Times New Roman" w:hAnsi="Times New Roman" w:cs="Times New Roman"/>
          <w:color w:val="000000" w:themeColor="text1"/>
        </w:rPr>
        <w:t xml:space="preserve">Portaria Normativa CAU/SP n.º 89, de 14 de abril de 2016, que regulamenta, </w:t>
      </w:r>
      <w:r w:rsidRPr="004B253F">
        <w:rPr>
          <w:rFonts w:ascii="Times New Roman" w:hAnsi="Times New Roman" w:cs="Times New Roman"/>
          <w:color w:val="000000"/>
        </w:rPr>
        <w:t>no âmbito do Conselho de Arquitetura e Urbanismo de São Paulo – CAU/SP, em conformidade com a Lei n° 12.527, de 18 de novembro de 2011, com o Decreto n° 7.724, de 16 de maio de 2012, e com a Portaria Normativa nº 44, de 10 de março de 2016, do CAU/BR, o acesso a informações, e dá outras providências</w:t>
      </w:r>
      <w:r>
        <w:rPr>
          <w:rFonts w:ascii="Times New Roman" w:hAnsi="Times New Roman" w:cs="Times New Roman"/>
          <w:color w:val="000000"/>
        </w:rPr>
        <w:t>, alterada pela Portaria Normativa CAU/SP n.º 94, de 10 de maio de 2016 e pela Portaria Normativa CAU/SP n.º 118, de 20 de fevereiro de 2017; e</w:t>
      </w:r>
    </w:p>
    <w:p w14:paraId="13D3886E" w14:textId="3525AA8B" w:rsidR="004B253F" w:rsidRDefault="004B253F" w:rsidP="004B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</w:p>
    <w:p w14:paraId="010C7463" w14:textId="500E3624" w:rsidR="004B253F" w:rsidRPr="004B253F" w:rsidRDefault="004B253F" w:rsidP="004B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Considerando a solicitação contida no </w:t>
      </w:r>
      <w:r w:rsidRPr="004B253F">
        <w:rPr>
          <w:rFonts w:ascii="Times New Roman" w:hAnsi="Times New Roman" w:cs="Times New Roman"/>
          <w:iCs/>
          <w:color w:val="000000"/>
        </w:rPr>
        <w:t>Memorando CAU/SP-RH 236/2021</w:t>
      </w:r>
      <w:r>
        <w:rPr>
          <w:rFonts w:ascii="Times New Roman" w:hAnsi="Times New Roman" w:cs="Times New Roman"/>
          <w:iCs/>
          <w:color w:val="000000"/>
        </w:rPr>
        <w:t>, nos autos do Processo de Gestão de Pessoas n.º 104/2021.</w:t>
      </w:r>
    </w:p>
    <w:p w14:paraId="24F1329D" w14:textId="542F790A" w:rsidR="004B253F" w:rsidRDefault="004B253F" w:rsidP="00CB6AA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Cs/>
          <w:color w:val="000000"/>
          <w:sz w:val="24"/>
          <w:szCs w:val="24"/>
        </w:rPr>
      </w:pPr>
    </w:p>
    <w:p w14:paraId="11758A0C" w14:textId="77777777" w:rsidR="008B56C5" w:rsidRPr="007760AD" w:rsidRDefault="008B56C5" w:rsidP="008B56C5">
      <w:pPr>
        <w:pStyle w:val="Default"/>
        <w:jc w:val="both"/>
        <w:rPr>
          <w:b/>
          <w:bCs/>
          <w:color w:val="000000" w:themeColor="text1"/>
          <w:sz w:val="22"/>
          <w:szCs w:val="22"/>
        </w:rPr>
      </w:pPr>
      <w:r w:rsidRPr="007760AD">
        <w:rPr>
          <w:b/>
          <w:bCs/>
          <w:color w:val="000000" w:themeColor="text1"/>
          <w:sz w:val="22"/>
          <w:szCs w:val="22"/>
        </w:rPr>
        <w:t>RESOLVE:</w:t>
      </w:r>
    </w:p>
    <w:p w14:paraId="66D6900A" w14:textId="77777777" w:rsidR="008B56C5" w:rsidRPr="008B56C5" w:rsidRDefault="008B56C5" w:rsidP="008B56C5">
      <w:pPr>
        <w:pStyle w:val="Default"/>
        <w:jc w:val="both"/>
        <w:rPr>
          <w:sz w:val="22"/>
          <w:szCs w:val="22"/>
        </w:rPr>
      </w:pPr>
    </w:p>
    <w:p w14:paraId="23F73D2A" w14:textId="1A20DA07" w:rsidR="00F9243A" w:rsidRDefault="00266942" w:rsidP="00F9243A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B6AA0">
        <w:rPr>
          <w:rFonts w:ascii="Times New Roman" w:hAnsi="Times New Roman" w:cs="Times New Roman"/>
        </w:rPr>
        <w:t>Art</w:t>
      </w:r>
      <w:r w:rsidRPr="00CB6AA0">
        <w:rPr>
          <w:rFonts w:ascii="Times New Roman" w:hAnsi="Times New Roman" w:cs="Times New Roman"/>
          <w:color w:val="000000" w:themeColor="text1"/>
        </w:rPr>
        <w:t xml:space="preserve">. 1º </w:t>
      </w:r>
      <w:r w:rsidR="00D545D3">
        <w:rPr>
          <w:rFonts w:ascii="Times New Roman" w:hAnsi="Times New Roman" w:cs="Times New Roman"/>
          <w:color w:val="000000" w:themeColor="text1"/>
        </w:rPr>
        <w:t>A</w:t>
      </w:r>
      <w:r w:rsidR="00F9243A" w:rsidRPr="00FD1264">
        <w:rPr>
          <w:rFonts w:ascii="Times New Roman" w:hAnsi="Times New Roman" w:cs="Times New Roman"/>
        </w:rPr>
        <w:t xml:space="preserve"> Portaria</w:t>
      </w:r>
      <w:r w:rsidR="00F9243A">
        <w:rPr>
          <w:rFonts w:ascii="Times New Roman" w:hAnsi="Times New Roman" w:cs="Times New Roman"/>
        </w:rPr>
        <w:t xml:space="preserve"> Normativa</w:t>
      </w:r>
      <w:r w:rsidR="00F9243A" w:rsidRPr="00FD1264">
        <w:rPr>
          <w:rFonts w:ascii="Times New Roman" w:hAnsi="Times New Roman" w:cs="Times New Roman"/>
        </w:rPr>
        <w:t xml:space="preserve"> CAU/SP n</w:t>
      </w:r>
      <w:r w:rsidR="00F9243A">
        <w:rPr>
          <w:rFonts w:ascii="Times New Roman" w:hAnsi="Times New Roman" w:cs="Times New Roman"/>
        </w:rPr>
        <w:t>.</w:t>
      </w:r>
      <w:r w:rsidR="00F9243A" w:rsidRPr="00FD1264">
        <w:rPr>
          <w:rFonts w:ascii="Times New Roman" w:hAnsi="Times New Roman" w:cs="Times New Roman"/>
        </w:rPr>
        <w:t xml:space="preserve">º 89, de 14 de abril de 2016, para </w:t>
      </w:r>
      <w:r w:rsidR="00D545D3">
        <w:rPr>
          <w:rFonts w:ascii="Times New Roman" w:hAnsi="Times New Roman" w:cs="Times New Roman"/>
        </w:rPr>
        <w:t>a vigorar com as seguintes alterações</w:t>
      </w:r>
      <w:r w:rsidR="00F9243A" w:rsidRPr="00FD1264">
        <w:rPr>
          <w:rFonts w:ascii="Times New Roman" w:hAnsi="Times New Roman" w:cs="Times New Roman"/>
        </w:rPr>
        <w:t>:</w:t>
      </w:r>
    </w:p>
    <w:p w14:paraId="4E310660" w14:textId="49CE6A1D" w:rsidR="003729D6" w:rsidRDefault="003729D6" w:rsidP="00F9243A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906C78D" w14:textId="4EDF7E04" w:rsidR="003729D6" w:rsidRPr="00D545D3" w:rsidRDefault="00D545D3" w:rsidP="00D545D3">
      <w:pPr>
        <w:ind w:left="284"/>
        <w:contextualSpacing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“</w:t>
      </w:r>
      <w:r w:rsidR="003729D6" w:rsidRPr="00D545D3">
        <w:rPr>
          <w:rFonts w:ascii="Times New Roman" w:hAnsi="Times New Roman" w:cs="Times New Roman"/>
          <w:i/>
          <w:color w:val="000000"/>
        </w:rPr>
        <w:t xml:space="preserve">Art. 4° </w:t>
      </w:r>
      <w:bookmarkStart w:id="1" w:name="_Hlk89782789"/>
      <w:r w:rsidR="003729D6" w:rsidRPr="00D545D3">
        <w:rPr>
          <w:rFonts w:ascii="Times New Roman" w:hAnsi="Times New Roman" w:cs="Times New Roman"/>
          <w:i/>
          <w:color w:val="000000"/>
        </w:rPr>
        <w:t>A função de autoridade monitoradora do Serviço de Informação ao Cidadão (SIC) caberá ao empregado Alexandre Piero, Gerente Administrativo, matrícula 363, que nesta função responderá diretamente ao Presidente, que exercerá a mesma cumulativamente com as funções que já exerce.</w:t>
      </w:r>
    </w:p>
    <w:bookmarkEnd w:id="1"/>
    <w:p w14:paraId="1852BB54" w14:textId="38E95697" w:rsidR="003729D6" w:rsidRPr="00D545D3" w:rsidRDefault="003729D6" w:rsidP="00D545D3">
      <w:pPr>
        <w:ind w:left="284"/>
        <w:contextualSpacing/>
        <w:jc w:val="both"/>
        <w:rPr>
          <w:rFonts w:ascii="Times New Roman" w:hAnsi="Times New Roman" w:cs="Times New Roman"/>
          <w:i/>
          <w:color w:val="0070C0"/>
        </w:rPr>
      </w:pPr>
    </w:p>
    <w:p w14:paraId="6AABA6DC" w14:textId="36B2272E" w:rsidR="003729D6" w:rsidRPr="00D545D3" w:rsidRDefault="003729D6" w:rsidP="00D545D3">
      <w:pPr>
        <w:ind w:left="284"/>
        <w:contextualSpacing/>
        <w:jc w:val="both"/>
        <w:rPr>
          <w:rFonts w:ascii="Times New Roman" w:hAnsi="Times New Roman" w:cs="Times New Roman"/>
          <w:i/>
          <w:color w:val="000000"/>
        </w:rPr>
      </w:pPr>
      <w:r w:rsidRPr="00D545D3">
        <w:rPr>
          <w:rFonts w:ascii="Times New Roman" w:hAnsi="Times New Roman" w:cs="Times New Roman"/>
          <w:i/>
          <w:color w:val="000000"/>
        </w:rPr>
        <w:t>Parágrafo único. Competirá ao empregado designado, no exercício da função de autoridade monitoradora do Serviço de Informação ao Cidadão:</w:t>
      </w:r>
    </w:p>
    <w:p w14:paraId="10FC52F4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  <w:r w:rsidRPr="00D545D3">
        <w:rPr>
          <w:i/>
          <w:sz w:val="22"/>
          <w:szCs w:val="22"/>
        </w:rPr>
        <w:t xml:space="preserve">I - </w:t>
      </w:r>
      <w:proofErr w:type="gramStart"/>
      <w:r w:rsidRPr="00D545D3">
        <w:rPr>
          <w:i/>
          <w:sz w:val="22"/>
          <w:szCs w:val="22"/>
        </w:rPr>
        <w:t>assegurar</w:t>
      </w:r>
      <w:proofErr w:type="gramEnd"/>
      <w:r w:rsidRPr="00D545D3">
        <w:rPr>
          <w:i/>
          <w:sz w:val="22"/>
          <w:szCs w:val="22"/>
        </w:rPr>
        <w:t xml:space="preserve"> o cumprimento das normas relativas ao acesso a informações, de forma eficiente e adequada aos objetivos da legislação federal reguladora do acesso a informações e desta Portaria Normativa; </w:t>
      </w:r>
    </w:p>
    <w:p w14:paraId="3B070E58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</w:p>
    <w:p w14:paraId="18BE1D30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  <w:r w:rsidRPr="00D545D3">
        <w:rPr>
          <w:i/>
          <w:sz w:val="22"/>
          <w:szCs w:val="22"/>
        </w:rPr>
        <w:t xml:space="preserve">II - </w:t>
      </w:r>
      <w:proofErr w:type="gramStart"/>
      <w:r w:rsidRPr="00D545D3">
        <w:rPr>
          <w:i/>
          <w:sz w:val="22"/>
          <w:szCs w:val="22"/>
        </w:rPr>
        <w:t>monitorar</w:t>
      </w:r>
      <w:proofErr w:type="gramEnd"/>
      <w:r w:rsidRPr="00D545D3">
        <w:rPr>
          <w:i/>
          <w:sz w:val="22"/>
          <w:szCs w:val="22"/>
        </w:rPr>
        <w:t xml:space="preserve"> a aplicação do disposto na legislação federal reguladora do acesso a informações e nesta Portaria Normativa e apresentar relatórios anuais sobre o seu cumprimento;</w:t>
      </w:r>
    </w:p>
    <w:p w14:paraId="50727E66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</w:p>
    <w:p w14:paraId="5367DF3A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pacing w:val="-2"/>
          <w:sz w:val="22"/>
          <w:szCs w:val="22"/>
        </w:rPr>
      </w:pPr>
      <w:r w:rsidRPr="00D545D3">
        <w:rPr>
          <w:i/>
          <w:spacing w:val="-2"/>
          <w:sz w:val="22"/>
          <w:szCs w:val="22"/>
        </w:rPr>
        <w:t>III - orientar e recomendar ao plenário, à presidência, às diretorias, às gerências, às assessorias e às demais unidades de gestão do CAU/SP as medidas indispensáveis à implementação e ao aperfeiçoamento das normas e procedimentos necessários ao correto cumprimento do disposto na legislação federal reguladora do acesso a informações e nesta Portaria Normativa quanto:</w:t>
      </w:r>
    </w:p>
    <w:p w14:paraId="52EB9B8C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</w:p>
    <w:p w14:paraId="33BB1DC8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  <w:r w:rsidRPr="00D545D3">
        <w:rPr>
          <w:i/>
          <w:sz w:val="22"/>
          <w:szCs w:val="22"/>
        </w:rPr>
        <w:lastRenderedPageBreak/>
        <w:t>a) ao rol de informações classificadas em cada grau de sigilo, com identificação para referência futura;</w:t>
      </w:r>
    </w:p>
    <w:p w14:paraId="2C7245EB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</w:p>
    <w:p w14:paraId="36F10E0E" w14:textId="77777777" w:rsidR="008D638A" w:rsidRPr="00D545D3" w:rsidRDefault="008D638A" w:rsidP="00D545D3">
      <w:pPr>
        <w:pStyle w:val="Default"/>
        <w:ind w:left="567"/>
        <w:contextualSpacing/>
        <w:jc w:val="both"/>
        <w:rPr>
          <w:i/>
          <w:sz w:val="22"/>
          <w:szCs w:val="22"/>
        </w:rPr>
      </w:pPr>
      <w:r w:rsidRPr="00D545D3">
        <w:rPr>
          <w:i/>
          <w:sz w:val="22"/>
          <w:szCs w:val="22"/>
        </w:rPr>
        <w:t>b) ao rol das informações desclassificadas dos graus de sigilo pelo menos nos últimos 12 (doze) meses, acompanhadas da data, do grau de sigilo correspondente, dos fundamentos da classificação e da autoridade responsável pela classificação;</w:t>
      </w:r>
    </w:p>
    <w:p w14:paraId="58B50614" w14:textId="77777777" w:rsidR="008D638A" w:rsidRPr="00D545D3" w:rsidRDefault="008D638A" w:rsidP="00D545D3">
      <w:pPr>
        <w:ind w:left="567"/>
        <w:contextualSpacing/>
        <w:jc w:val="both"/>
        <w:rPr>
          <w:rFonts w:ascii="Times New Roman" w:hAnsi="Times New Roman" w:cs="Times New Roman"/>
          <w:i/>
          <w:color w:val="000000"/>
        </w:rPr>
      </w:pPr>
    </w:p>
    <w:p w14:paraId="33B702AF" w14:textId="6EFCC533" w:rsidR="008D638A" w:rsidRPr="00D545D3" w:rsidRDefault="008D638A" w:rsidP="00D545D3">
      <w:pPr>
        <w:ind w:left="567"/>
        <w:contextualSpacing/>
        <w:jc w:val="both"/>
        <w:rPr>
          <w:rFonts w:ascii="Times New Roman" w:hAnsi="Times New Roman" w:cs="Times New Roman"/>
          <w:i/>
          <w:color w:val="000000"/>
        </w:rPr>
      </w:pPr>
      <w:r w:rsidRPr="00D545D3">
        <w:rPr>
          <w:rFonts w:ascii="Times New Roman" w:hAnsi="Times New Roman" w:cs="Times New Roman"/>
          <w:i/>
          <w:color w:val="000000"/>
        </w:rPr>
        <w:t xml:space="preserve">IV - </w:t>
      </w:r>
      <w:proofErr w:type="gramStart"/>
      <w:r w:rsidRPr="00D545D3">
        <w:rPr>
          <w:rFonts w:ascii="Times New Roman" w:hAnsi="Times New Roman" w:cs="Times New Roman"/>
          <w:i/>
          <w:color w:val="000000"/>
        </w:rPr>
        <w:t>providenciar</w:t>
      </w:r>
      <w:proofErr w:type="gramEnd"/>
      <w:r w:rsidRPr="00D545D3">
        <w:rPr>
          <w:rFonts w:ascii="Times New Roman" w:hAnsi="Times New Roman" w:cs="Times New Roman"/>
          <w:i/>
          <w:color w:val="000000"/>
        </w:rPr>
        <w:t xml:space="preserve"> a publicação, no Portal da Transparência do CAU/SP, de relatório estatístico anual contendo a quantidade de pedidos de informações recebidos, atendidos e indeferidos, bem como informações genéricas sobre os solicitantes</w:t>
      </w:r>
      <w:r w:rsidR="00D545D3">
        <w:rPr>
          <w:rFonts w:ascii="Times New Roman" w:hAnsi="Times New Roman" w:cs="Times New Roman"/>
          <w:i/>
          <w:color w:val="000000"/>
        </w:rPr>
        <w:t>.”</w:t>
      </w:r>
    </w:p>
    <w:p w14:paraId="01B17C5B" w14:textId="77777777" w:rsidR="008D638A" w:rsidRPr="00D545D3" w:rsidRDefault="008D638A" w:rsidP="003729D6">
      <w:pPr>
        <w:contextualSpacing/>
        <w:jc w:val="both"/>
        <w:rPr>
          <w:rFonts w:ascii="Times New Roman" w:hAnsi="Times New Roman" w:cs="Times New Roman"/>
          <w:i/>
          <w:color w:val="0070C0"/>
        </w:rPr>
      </w:pPr>
    </w:p>
    <w:p w14:paraId="101D245D" w14:textId="3AAD006E" w:rsidR="004F225A" w:rsidRPr="00D545D3" w:rsidRDefault="00D545D3" w:rsidP="00D545D3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“</w:t>
      </w:r>
      <w:r w:rsidR="00F9243A" w:rsidRPr="00D545D3">
        <w:rPr>
          <w:rFonts w:ascii="Times New Roman" w:hAnsi="Times New Roman" w:cs="Times New Roman"/>
          <w:i/>
          <w:iCs/>
          <w:color w:val="000000"/>
        </w:rPr>
        <w:t xml:space="preserve">Art. 18. </w:t>
      </w:r>
      <w:bookmarkStart w:id="2" w:name="_Hlk89439285"/>
      <w:r w:rsidR="00F9243A" w:rsidRPr="00D545D3">
        <w:rPr>
          <w:rFonts w:ascii="Times New Roman" w:hAnsi="Times New Roman" w:cs="Times New Roman"/>
          <w:i/>
          <w:iCs/>
          <w:color w:val="000000"/>
        </w:rPr>
        <w:t>No caso de omissão na resposta ao pedido de acesso a informações, o requerente poderá apresentar reclamação no prazo de 10 (dez) dias à Autoridade de Monitoramento da LAI do CAU/SP, que deverá se manifestar no prazo de 5 (cinco) dias, contado do recebimento da reclamação</w:t>
      </w:r>
      <w:bookmarkEnd w:id="2"/>
      <w:r>
        <w:rPr>
          <w:rFonts w:ascii="Times New Roman" w:hAnsi="Times New Roman" w:cs="Times New Roman"/>
          <w:i/>
          <w:iCs/>
          <w:color w:val="000000"/>
        </w:rPr>
        <w:t>.”</w:t>
      </w:r>
    </w:p>
    <w:p w14:paraId="1BF4138A" w14:textId="6CF895D8" w:rsidR="00F9243A" w:rsidRPr="00D545D3" w:rsidRDefault="00F9243A" w:rsidP="00D545D3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</w:rPr>
      </w:pPr>
    </w:p>
    <w:p w14:paraId="179970EA" w14:textId="60B3E4DD" w:rsidR="00457F9E" w:rsidRPr="00D545D3" w:rsidRDefault="00D545D3" w:rsidP="00D545D3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</w:rPr>
      </w:pPr>
      <w:bookmarkStart w:id="3" w:name="_Hlk89440493"/>
      <w:r>
        <w:rPr>
          <w:rFonts w:ascii="Times New Roman" w:hAnsi="Times New Roman" w:cs="Times New Roman"/>
          <w:i/>
          <w:iCs/>
        </w:rPr>
        <w:t>“</w:t>
      </w:r>
      <w:r w:rsidR="00457F9E" w:rsidRPr="00D545D3">
        <w:rPr>
          <w:rFonts w:ascii="Times New Roman" w:hAnsi="Times New Roman" w:cs="Times New Roman"/>
          <w:i/>
          <w:iCs/>
        </w:rPr>
        <w:t>Art. 21. Em caso de negativa de acesso a informações ou de fornecimento de informações incompletas, o requerente poderá recorrer, no prazo de 10 (dez) dias a contar da ciência da decisão, à Ouvidoria do CAU/SP, devendo o recurso ser decidido no prazo de 5 (cinco) dias, a contar de seu recebimento</w:t>
      </w:r>
      <w:r>
        <w:rPr>
          <w:rFonts w:ascii="Times New Roman" w:hAnsi="Times New Roman" w:cs="Times New Roman"/>
          <w:i/>
          <w:iCs/>
        </w:rPr>
        <w:t>.”</w:t>
      </w:r>
    </w:p>
    <w:bookmarkEnd w:id="3"/>
    <w:p w14:paraId="673D280D" w14:textId="77777777" w:rsidR="00457F9E" w:rsidRPr="00D545D3" w:rsidRDefault="00457F9E" w:rsidP="00D545D3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</w:rPr>
      </w:pPr>
    </w:p>
    <w:p w14:paraId="163F342A" w14:textId="40602088" w:rsidR="00C901D8" w:rsidRPr="00D545D3" w:rsidRDefault="00D545D3" w:rsidP="00D545D3">
      <w:pPr>
        <w:ind w:left="284"/>
        <w:contextualSpacing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“</w:t>
      </w:r>
      <w:r w:rsidR="00C901D8" w:rsidRPr="00D545D3">
        <w:rPr>
          <w:rFonts w:ascii="Times New Roman" w:hAnsi="Times New Roman" w:cs="Times New Roman"/>
          <w:i/>
          <w:iCs/>
        </w:rPr>
        <w:t>Art. 24. As informações produzidas pelo CAU/SP ou sobre as quais ele tenha a guarda serão classificadas em:</w:t>
      </w:r>
    </w:p>
    <w:p w14:paraId="11C0E369" w14:textId="77777777" w:rsidR="00C901D8" w:rsidRPr="00D545D3" w:rsidRDefault="00C901D8" w:rsidP="00C901D8">
      <w:pPr>
        <w:contextualSpacing/>
        <w:jc w:val="both"/>
        <w:rPr>
          <w:rFonts w:ascii="Times New Roman" w:hAnsi="Times New Roman" w:cs="Times New Roman"/>
          <w:i/>
          <w:iCs/>
        </w:rPr>
      </w:pPr>
    </w:p>
    <w:p w14:paraId="2FE0F6CE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I - </w:t>
      </w:r>
      <w:proofErr w:type="gramStart"/>
      <w:r w:rsidRPr="00D545D3">
        <w:rPr>
          <w:rFonts w:ascii="Times New Roman" w:hAnsi="Times New Roman" w:cs="Times New Roman"/>
          <w:i/>
          <w:iCs/>
        </w:rPr>
        <w:t>públicas</w:t>
      </w:r>
      <w:proofErr w:type="gramEnd"/>
      <w:r w:rsidRPr="00D545D3">
        <w:rPr>
          <w:rFonts w:ascii="Times New Roman" w:hAnsi="Times New Roman" w:cs="Times New Roman"/>
          <w:i/>
          <w:iCs/>
        </w:rPr>
        <w:t>;</w:t>
      </w:r>
    </w:p>
    <w:p w14:paraId="6469177F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</w:p>
    <w:p w14:paraId="2EB75B19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II - </w:t>
      </w:r>
      <w:proofErr w:type="gramStart"/>
      <w:r w:rsidRPr="00D545D3">
        <w:rPr>
          <w:rFonts w:ascii="Times New Roman" w:hAnsi="Times New Roman" w:cs="Times New Roman"/>
          <w:i/>
          <w:iCs/>
        </w:rPr>
        <w:t>restritas</w:t>
      </w:r>
      <w:proofErr w:type="gramEnd"/>
      <w:r w:rsidRPr="00D545D3">
        <w:rPr>
          <w:rFonts w:ascii="Times New Roman" w:hAnsi="Times New Roman" w:cs="Times New Roman"/>
          <w:i/>
          <w:iCs/>
        </w:rPr>
        <w:t>, informações com o intuito de manter o interesse público e a proteção de dados em casos previstos em lei, destinado a ser acessado somente pelos setores e profissionais internos ao CAU/SP que trabalham com o referido documento, pelo prazo legal que a restrição do documento couber;</w:t>
      </w:r>
    </w:p>
    <w:p w14:paraId="4B2EA081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</w:p>
    <w:p w14:paraId="56D04735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III - reservadas, aquelas cuja guarda sem publicidade deve estender-se pelo prazo de 5 (cinco) anos; </w:t>
      </w:r>
    </w:p>
    <w:p w14:paraId="0F48AE00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</w:p>
    <w:p w14:paraId="7247DF22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IV - </w:t>
      </w:r>
      <w:proofErr w:type="gramStart"/>
      <w:r w:rsidRPr="00D545D3">
        <w:rPr>
          <w:rFonts w:ascii="Times New Roman" w:hAnsi="Times New Roman" w:cs="Times New Roman"/>
          <w:i/>
          <w:iCs/>
        </w:rPr>
        <w:t>secretas</w:t>
      </w:r>
      <w:proofErr w:type="gramEnd"/>
      <w:r w:rsidRPr="00D545D3">
        <w:rPr>
          <w:rFonts w:ascii="Times New Roman" w:hAnsi="Times New Roman" w:cs="Times New Roman"/>
          <w:i/>
          <w:iCs/>
        </w:rPr>
        <w:t>, aquelas cuja guarda sem publicidade deve estender-se pelo prazo de 15 (quinze) anos;</w:t>
      </w:r>
    </w:p>
    <w:p w14:paraId="4A4810D7" w14:textId="77777777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</w:p>
    <w:p w14:paraId="49BADAC0" w14:textId="4989D69C" w:rsidR="00C901D8" w:rsidRPr="00D545D3" w:rsidRDefault="00C901D8" w:rsidP="00D545D3">
      <w:pPr>
        <w:ind w:left="567"/>
        <w:contextualSpacing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V - </w:t>
      </w:r>
      <w:proofErr w:type="gramStart"/>
      <w:r w:rsidRPr="00D545D3">
        <w:rPr>
          <w:rFonts w:ascii="Times New Roman" w:hAnsi="Times New Roman" w:cs="Times New Roman"/>
          <w:i/>
          <w:iCs/>
        </w:rPr>
        <w:t>privadas</w:t>
      </w:r>
      <w:proofErr w:type="gramEnd"/>
      <w:r w:rsidRPr="00D545D3">
        <w:rPr>
          <w:rFonts w:ascii="Times New Roman" w:hAnsi="Times New Roman" w:cs="Times New Roman"/>
          <w:i/>
          <w:iCs/>
        </w:rPr>
        <w:t>, aquelas que digam respeito à vida privada, à imagem e à honra de quaisquer pessoas, ressalvadas as exceções previstas nesta Portaria Normativa.</w:t>
      </w:r>
      <w:r w:rsidR="00D545D3">
        <w:rPr>
          <w:rFonts w:ascii="Times New Roman" w:hAnsi="Times New Roman" w:cs="Times New Roman"/>
          <w:i/>
          <w:iCs/>
        </w:rPr>
        <w:t>”</w:t>
      </w:r>
    </w:p>
    <w:p w14:paraId="71B28E96" w14:textId="0C9048A2" w:rsidR="00F9243A" w:rsidRPr="00D545D3" w:rsidRDefault="00F9243A" w:rsidP="00F9243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CC7857A" w14:textId="0886EEA7" w:rsidR="00F9243A" w:rsidRPr="00D545D3" w:rsidRDefault="00D545D3" w:rsidP="00D545D3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“</w:t>
      </w:r>
      <w:r w:rsidR="00F9243A" w:rsidRPr="00D545D3">
        <w:rPr>
          <w:rFonts w:ascii="Times New Roman" w:hAnsi="Times New Roman" w:cs="Times New Roman"/>
          <w:i/>
          <w:iCs/>
          <w:color w:val="000000"/>
        </w:rPr>
        <w:t>Art. 25 (...)</w:t>
      </w:r>
    </w:p>
    <w:p w14:paraId="58FE6009" w14:textId="31B71A01" w:rsidR="00F9243A" w:rsidRPr="00D545D3" w:rsidRDefault="00F9243A" w:rsidP="00F9243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</w:p>
    <w:p w14:paraId="586D5EF2" w14:textId="52C89281" w:rsidR="00F9243A" w:rsidRPr="00D545D3" w:rsidRDefault="00F9243A" w:rsidP="00D545D3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color w:val="000000"/>
        </w:rPr>
      </w:pPr>
      <w:bookmarkStart w:id="4" w:name="_Hlk89439734"/>
      <w:r w:rsidRPr="00D545D3">
        <w:rPr>
          <w:rFonts w:ascii="Times New Roman" w:hAnsi="Times New Roman" w:cs="Times New Roman"/>
          <w:i/>
          <w:iCs/>
          <w:color w:val="000000"/>
        </w:rPr>
        <w:t>III – pelos próprios agentes públicos que instruem processos.</w:t>
      </w:r>
    </w:p>
    <w:bookmarkEnd w:id="4"/>
    <w:p w14:paraId="62503AF5" w14:textId="73A94151" w:rsidR="00F9243A" w:rsidRPr="00D545D3" w:rsidRDefault="00F9243A" w:rsidP="00F9243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</w:p>
    <w:p w14:paraId="3F3BB431" w14:textId="2C08BB47" w:rsidR="00F9243A" w:rsidRPr="00D545D3" w:rsidRDefault="00F9243A" w:rsidP="00D545D3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color w:val="000000"/>
        </w:rPr>
      </w:pPr>
      <w:r w:rsidRPr="00D545D3">
        <w:rPr>
          <w:rFonts w:ascii="Times New Roman" w:hAnsi="Times New Roman" w:cs="Times New Roman"/>
          <w:i/>
          <w:iCs/>
          <w:color w:val="000000"/>
        </w:rPr>
        <w:t>(...)</w:t>
      </w:r>
    </w:p>
    <w:p w14:paraId="66055879" w14:textId="7620174F" w:rsidR="00F9243A" w:rsidRPr="00D545D3" w:rsidRDefault="00F9243A" w:rsidP="00D545D3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color w:val="000000"/>
        </w:rPr>
      </w:pPr>
    </w:p>
    <w:p w14:paraId="5BE4F01F" w14:textId="769998D5" w:rsidR="00191754" w:rsidRPr="00D545D3" w:rsidRDefault="00F9243A" w:rsidP="00D545D3">
      <w:pPr>
        <w:pStyle w:val="Default"/>
        <w:ind w:left="567"/>
        <w:contextualSpacing/>
        <w:jc w:val="both"/>
        <w:rPr>
          <w:rFonts w:eastAsiaTheme="minorHAnsi"/>
          <w:i/>
          <w:iCs/>
          <w:color w:val="auto"/>
          <w:sz w:val="22"/>
          <w:szCs w:val="22"/>
          <w:lang w:eastAsia="en-US"/>
        </w:rPr>
      </w:pPr>
      <w:bookmarkStart w:id="5" w:name="_Hlk89439778"/>
      <w:r w:rsidRPr="00D545D3">
        <w:rPr>
          <w:rFonts w:eastAsiaTheme="minorHAnsi"/>
          <w:i/>
          <w:iCs/>
          <w:color w:val="auto"/>
          <w:sz w:val="22"/>
          <w:szCs w:val="22"/>
          <w:lang w:eastAsia="en-US"/>
        </w:rPr>
        <w:t>§</w:t>
      </w:r>
      <w:r w:rsidR="00191754" w:rsidRPr="00D545D3">
        <w:rPr>
          <w:rFonts w:eastAsiaTheme="minorHAnsi"/>
          <w:i/>
          <w:iCs/>
          <w:color w:val="auto"/>
          <w:sz w:val="22"/>
          <w:szCs w:val="22"/>
          <w:lang w:eastAsia="en-US"/>
        </w:rPr>
        <w:t xml:space="preserve"> </w:t>
      </w:r>
      <w:r w:rsidRPr="00D545D3">
        <w:rPr>
          <w:rFonts w:eastAsiaTheme="minorHAnsi"/>
          <w:i/>
          <w:iCs/>
          <w:color w:val="auto"/>
          <w:sz w:val="22"/>
          <w:szCs w:val="22"/>
          <w:lang w:eastAsia="en-US"/>
        </w:rPr>
        <w:t>4</w:t>
      </w:r>
      <w:r w:rsidR="00191754" w:rsidRPr="00D545D3">
        <w:rPr>
          <w:rFonts w:eastAsiaTheme="minorHAnsi"/>
          <w:i/>
          <w:iCs/>
          <w:color w:val="auto"/>
          <w:sz w:val="22"/>
          <w:szCs w:val="22"/>
          <w:lang w:eastAsia="en-US"/>
        </w:rPr>
        <w:t>º</w:t>
      </w:r>
      <w:r w:rsidRPr="00D545D3">
        <w:rPr>
          <w:rFonts w:eastAsiaTheme="minorHAnsi"/>
          <w:i/>
          <w:iCs/>
          <w:color w:val="auto"/>
          <w:sz w:val="22"/>
          <w:szCs w:val="22"/>
          <w:lang w:eastAsia="en-US"/>
        </w:rPr>
        <w:t xml:space="preserve"> </w:t>
      </w:r>
      <w:bookmarkEnd w:id="5"/>
      <w:r w:rsidR="00191754" w:rsidRPr="00D545D3">
        <w:rPr>
          <w:rFonts w:eastAsiaTheme="minorHAnsi"/>
          <w:i/>
          <w:iCs/>
          <w:color w:val="auto"/>
          <w:sz w:val="22"/>
          <w:szCs w:val="22"/>
          <w:lang w:eastAsia="en-US"/>
        </w:rPr>
        <w:t>Nos seguintes casos, os processos administrativos ou informações adicionadas a eles podem ser classificadas pelos próprios agentes públicos que instruem essas informações, como “restritas”, observado o disposto no inciso II, do art. 24:</w:t>
      </w:r>
    </w:p>
    <w:p w14:paraId="7E586F52" w14:textId="77777777" w:rsidR="00191754" w:rsidRPr="00D545D3" w:rsidRDefault="00191754" w:rsidP="001917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bookmarkStart w:id="6" w:name="_Hlk89439673"/>
    </w:p>
    <w:p w14:paraId="4977B91A" w14:textId="07AC76DB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Apuração Preliminar; </w:t>
      </w:r>
    </w:p>
    <w:p w14:paraId="1104FEED" w14:textId="77777777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Controle Interno (Art. 26, §3º, Lei 10.180/2001); </w:t>
      </w:r>
    </w:p>
    <w:p w14:paraId="07B493D5" w14:textId="77777777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Documento Preparatório (Art. 7º, §3º, Lei 12.527/2011); </w:t>
      </w:r>
    </w:p>
    <w:p w14:paraId="3597FBAA" w14:textId="77777777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lastRenderedPageBreak/>
        <w:t xml:space="preserve">Informação Pessoal (Art. 31, Lei 12.527/2011); </w:t>
      </w:r>
    </w:p>
    <w:p w14:paraId="229E85D2" w14:textId="77777777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Investigação de Responsabilidade do Servidor ou PAD; </w:t>
      </w:r>
    </w:p>
    <w:p w14:paraId="368093B2" w14:textId="77777777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Sigilo Contábil (Art. 1.190, Lei 10.406/2002); </w:t>
      </w:r>
    </w:p>
    <w:p w14:paraId="7DAED54C" w14:textId="77777777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 xml:space="preserve">Sigilo Empresarial (Art. 169, Lei 11.101/2005); </w:t>
      </w:r>
    </w:p>
    <w:p w14:paraId="3739C94F" w14:textId="69287ADD" w:rsidR="00191754" w:rsidRPr="00D545D3" w:rsidRDefault="00191754" w:rsidP="00D545D3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iCs/>
        </w:rPr>
      </w:pPr>
      <w:r w:rsidRPr="00D545D3">
        <w:rPr>
          <w:rFonts w:ascii="Times New Roman" w:hAnsi="Times New Roman" w:cs="Times New Roman"/>
          <w:i/>
          <w:iCs/>
        </w:rPr>
        <w:t>Sigilo Fiscal (Art. 198, caput, Lei 5.172/1966).</w:t>
      </w:r>
      <w:r w:rsidR="00D545D3">
        <w:rPr>
          <w:rFonts w:ascii="Times New Roman" w:hAnsi="Times New Roman" w:cs="Times New Roman"/>
          <w:i/>
          <w:iCs/>
        </w:rPr>
        <w:t>”</w:t>
      </w:r>
    </w:p>
    <w:bookmarkEnd w:id="6"/>
    <w:p w14:paraId="098C0813" w14:textId="0523B91D" w:rsidR="00F9243A" w:rsidRPr="00D545D3" w:rsidRDefault="00F9243A" w:rsidP="00191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3F31595E" w14:textId="73F7A3B5" w:rsidR="00F9243A" w:rsidRPr="00D545D3" w:rsidRDefault="00D545D3" w:rsidP="00D545D3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</w:rPr>
      </w:pPr>
      <w:bookmarkStart w:id="7" w:name="_Hlk89439825"/>
      <w:r w:rsidRPr="00D545D3">
        <w:rPr>
          <w:rFonts w:ascii="Times New Roman" w:hAnsi="Times New Roman" w:cs="Times New Roman"/>
          <w:i/>
          <w:iCs/>
        </w:rPr>
        <w:t>“</w:t>
      </w:r>
      <w:r w:rsidR="003729D6" w:rsidRPr="00D545D3">
        <w:rPr>
          <w:rFonts w:ascii="Times New Roman" w:hAnsi="Times New Roman" w:cs="Times New Roman"/>
          <w:i/>
          <w:iCs/>
        </w:rPr>
        <w:t>Art. 27. A decisão que classificar as informações em qualquer grau de sigilo deverá ser formalizada com as seguintes informações:</w:t>
      </w:r>
      <w:r>
        <w:rPr>
          <w:rFonts w:ascii="Times New Roman" w:hAnsi="Times New Roman" w:cs="Times New Roman"/>
          <w:i/>
          <w:iCs/>
        </w:rPr>
        <w:t>”</w:t>
      </w:r>
    </w:p>
    <w:p w14:paraId="0DD294D1" w14:textId="02AA0D52" w:rsidR="003729D6" w:rsidRPr="00D545D3" w:rsidRDefault="003729D6" w:rsidP="00F9243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02E9FE7" w14:textId="154C75E8" w:rsidR="003729D6" w:rsidRPr="00D545D3" w:rsidRDefault="00D545D3" w:rsidP="00D545D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color w:val="000000"/>
        </w:rPr>
      </w:pPr>
      <w:bookmarkStart w:id="8" w:name="_Hlk89439898"/>
      <w:r>
        <w:rPr>
          <w:rFonts w:ascii="Times New Roman" w:hAnsi="Times New Roman" w:cs="Times New Roman"/>
          <w:i/>
          <w:iCs/>
          <w:color w:val="000000"/>
        </w:rPr>
        <w:t>“</w:t>
      </w:r>
      <w:r w:rsidR="003729D6" w:rsidRPr="00D545D3">
        <w:rPr>
          <w:rFonts w:ascii="Times New Roman" w:hAnsi="Times New Roman" w:cs="Times New Roman"/>
          <w:i/>
          <w:iCs/>
          <w:color w:val="000000"/>
        </w:rPr>
        <w:t xml:space="preserve">Art. 28. A classificação das informações será reavaliada pela autoridade de monitoramento da LAI do CAU/SP. </w:t>
      </w:r>
    </w:p>
    <w:p w14:paraId="30E7BC4E" w14:textId="3FF5FEA6" w:rsidR="003729D6" w:rsidRPr="00D545D3" w:rsidRDefault="003729D6" w:rsidP="00D545D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i/>
          <w:color w:val="000000"/>
        </w:rPr>
      </w:pPr>
      <w:r w:rsidRPr="00D545D3">
        <w:rPr>
          <w:rFonts w:ascii="Times New Roman" w:hAnsi="Times New Roman" w:cs="Times New Roman"/>
          <w:i/>
          <w:color w:val="000000"/>
        </w:rPr>
        <w:t>(...)</w:t>
      </w:r>
    </w:p>
    <w:p w14:paraId="50CDC2ED" w14:textId="1F1FBF39" w:rsidR="003729D6" w:rsidRDefault="003729D6" w:rsidP="00D545D3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</w:rPr>
      </w:pPr>
      <w:r w:rsidRPr="00D545D3">
        <w:rPr>
          <w:rFonts w:ascii="Times New Roman" w:hAnsi="Times New Roman" w:cs="Times New Roman"/>
          <w:i/>
          <w:iCs/>
          <w:color w:val="000000"/>
        </w:rPr>
        <w:t xml:space="preserve">II - </w:t>
      </w:r>
      <w:proofErr w:type="gramStart"/>
      <w:r w:rsidRPr="00D545D3">
        <w:rPr>
          <w:rFonts w:ascii="Times New Roman" w:hAnsi="Times New Roman" w:cs="Times New Roman"/>
          <w:i/>
          <w:iCs/>
          <w:color w:val="000000"/>
        </w:rPr>
        <w:t>caso</w:t>
      </w:r>
      <w:proofErr w:type="gramEnd"/>
      <w:r w:rsidRPr="00D545D3">
        <w:rPr>
          <w:rFonts w:ascii="Times New Roman" w:hAnsi="Times New Roman" w:cs="Times New Roman"/>
          <w:i/>
          <w:iCs/>
          <w:color w:val="000000"/>
        </w:rPr>
        <w:t xml:space="preserve"> a decisão implique em classificação, desclassificação, reclassificação ou redução do prazo de sigilo de informação classificada em qualquer grau de sigilo, deverá ser formalizada e justificada;</w:t>
      </w:r>
      <w:r w:rsidR="00D545D3">
        <w:rPr>
          <w:rFonts w:ascii="Times New Roman" w:hAnsi="Times New Roman" w:cs="Times New Roman"/>
          <w:i/>
          <w:iCs/>
          <w:color w:val="000000"/>
        </w:rPr>
        <w:t>”</w:t>
      </w:r>
    </w:p>
    <w:bookmarkEnd w:id="8"/>
    <w:p w14:paraId="45BAAD79" w14:textId="77777777" w:rsidR="003729D6" w:rsidRPr="003729D6" w:rsidRDefault="003729D6" w:rsidP="00F9243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bookmarkEnd w:id="7"/>
    <w:p w14:paraId="5EE4D6D8" w14:textId="6BED59CB" w:rsidR="00457F9E" w:rsidRDefault="008D638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8D638A">
        <w:rPr>
          <w:rFonts w:ascii="Times New Roman" w:hAnsi="Times New Roman" w:cs="Times New Roman"/>
          <w:bCs/>
          <w:color w:val="000000"/>
        </w:rPr>
        <w:t>Art. 2º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="00810CD2">
        <w:rPr>
          <w:rFonts w:ascii="Times New Roman" w:hAnsi="Times New Roman" w:cs="Times New Roman"/>
          <w:bCs/>
          <w:color w:val="000000"/>
        </w:rPr>
        <w:t xml:space="preserve">Revoga-se neste ato </w:t>
      </w:r>
      <w:r>
        <w:rPr>
          <w:rFonts w:ascii="Times New Roman" w:hAnsi="Times New Roman" w:cs="Times New Roman"/>
          <w:bCs/>
          <w:color w:val="000000"/>
        </w:rPr>
        <w:t>a</w:t>
      </w:r>
      <w:r w:rsidR="00457F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457F9E" w:rsidRPr="008D638A">
        <w:rPr>
          <w:rFonts w:ascii="Times New Roman" w:hAnsi="Times New Roman" w:cs="Times New Roman"/>
          <w:bCs/>
          <w:color w:val="000000"/>
        </w:rPr>
        <w:t xml:space="preserve">Portaria Normativa CAU/SP n.º </w:t>
      </w:r>
      <w:r w:rsidR="00457F9E" w:rsidRPr="00810CD2">
        <w:rPr>
          <w:rFonts w:ascii="Times New Roman" w:hAnsi="Times New Roman" w:cs="Times New Roman"/>
          <w:bCs/>
          <w:color w:val="000000"/>
        </w:rPr>
        <w:t>94, de 10 de maio de 2016</w:t>
      </w:r>
      <w:r w:rsidR="00810CD2" w:rsidRPr="00810CD2">
        <w:rPr>
          <w:rFonts w:ascii="Times New Roman" w:hAnsi="Times New Roman" w:cs="Times New Roman"/>
          <w:bCs/>
          <w:color w:val="000000"/>
        </w:rPr>
        <w:t xml:space="preserve"> e o art. 1º, </w:t>
      </w:r>
      <w:r w:rsidR="00457F9E" w:rsidRPr="00810CD2">
        <w:rPr>
          <w:rFonts w:ascii="Times New Roman" w:hAnsi="Times New Roman" w:cs="Times New Roman"/>
          <w:bCs/>
          <w:color w:val="000000"/>
        </w:rPr>
        <w:t>da Portaria Normativa CAU/SP n.º 118, de 20 de fevereiro de 2017.</w:t>
      </w:r>
    </w:p>
    <w:p w14:paraId="59C59135" w14:textId="77777777" w:rsidR="00457F9E" w:rsidRPr="004F225A" w:rsidRDefault="00457F9E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1FD6DE2" w14:textId="28267A40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00DFC">
        <w:rPr>
          <w:rFonts w:ascii="Times New Roman" w:hAnsi="Times New Roman" w:cs="Times New Roman"/>
          <w:bCs/>
          <w:color w:val="000000"/>
        </w:rPr>
        <w:t xml:space="preserve">Art. </w:t>
      </w:r>
      <w:r w:rsidR="00810CD2">
        <w:rPr>
          <w:rFonts w:ascii="Times New Roman" w:hAnsi="Times New Roman" w:cs="Times New Roman"/>
          <w:bCs/>
          <w:color w:val="000000"/>
        </w:rPr>
        <w:t>3</w:t>
      </w:r>
      <w:r w:rsidRPr="00000DFC">
        <w:rPr>
          <w:rFonts w:ascii="Times New Roman" w:hAnsi="Times New Roman" w:cs="Times New Roman"/>
          <w:bCs/>
          <w:color w:val="000000"/>
        </w:rPr>
        <w:t>º</w:t>
      </w:r>
      <w:r w:rsidRPr="00000DF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00DFC">
        <w:rPr>
          <w:rFonts w:ascii="Times New Roman" w:hAnsi="Times New Roman" w:cs="Times New Roman"/>
          <w:color w:val="000000"/>
        </w:rPr>
        <w:t xml:space="preserve">Esta portaria entra em vigor </w:t>
      </w:r>
      <w:r w:rsidR="00810CD2">
        <w:rPr>
          <w:rFonts w:ascii="Times New Roman" w:hAnsi="Times New Roman" w:cs="Times New Roman"/>
          <w:color w:val="000000"/>
        </w:rPr>
        <w:t>na data de sua publicação</w:t>
      </w:r>
      <w:r w:rsidRPr="00000DFC">
        <w:rPr>
          <w:rFonts w:ascii="Times New Roman" w:hAnsi="Times New Roman" w:cs="Times New Roman"/>
          <w:color w:val="000000"/>
        </w:rPr>
        <w:t>.</w:t>
      </w:r>
    </w:p>
    <w:p w14:paraId="06DF6E63" w14:textId="449A8D27" w:rsidR="00214962" w:rsidRDefault="00214962" w:rsidP="008B56C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187515" w14:textId="7996378F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00DFC">
        <w:rPr>
          <w:rFonts w:ascii="Times New Roman" w:hAnsi="Times New Roman" w:cs="Times New Roman"/>
        </w:rPr>
        <w:t xml:space="preserve">São Paulo, </w:t>
      </w:r>
      <w:r w:rsidR="00810CD2">
        <w:rPr>
          <w:rFonts w:ascii="Times New Roman" w:hAnsi="Times New Roman" w:cs="Times New Roman"/>
        </w:rPr>
        <w:t>07</w:t>
      </w:r>
      <w:r w:rsidRPr="00000DFC">
        <w:rPr>
          <w:rFonts w:ascii="Times New Roman" w:hAnsi="Times New Roman" w:cs="Times New Roman"/>
        </w:rPr>
        <w:t xml:space="preserve"> de </w:t>
      </w:r>
      <w:r w:rsidR="00810CD2">
        <w:rPr>
          <w:rFonts w:ascii="Times New Roman" w:hAnsi="Times New Roman" w:cs="Times New Roman"/>
        </w:rPr>
        <w:t>dezembro</w:t>
      </w:r>
      <w:r w:rsidR="007B2816" w:rsidRPr="00000DFC">
        <w:rPr>
          <w:rFonts w:ascii="Times New Roman" w:hAnsi="Times New Roman" w:cs="Times New Roman"/>
        </w:rPr>
        <w:t xml:space="preserve"> </w:t>
      </w:r>
      <w:r w:rsidRPr="00000DFC">
        <w:rPr>
          <w:rFonts w:ascii="Times New Roman" w:hAnsi="Times New Roman" w:cs="Times New Roman"/>
        </w:rPr>
        <w:t>de 2021.</w:t>
      </w:r>
    </w:p>
    <w:p w14:paraId="17508F02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8AF441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5C921C0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020AF2C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962">
        <w:rPr>
          <w:rFonts w:ascii="Times New Roman" w:hAnsi="Times New Roman" w:cs="Times New Roman"/>
          <w:b/>
          <w:bCs/>
        </w:rPr>
        <w:t>Catherine Otondo</w:t>
      </w:r>
    </w:p>
    <w:p w14:paraId="7825EC0E" w14:textId="208F5FF6" w:rsid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962">
        <w:rPr>
          <w:rFonts w:ascii="Times New Roman" w:hAnsi="Times New Roman" w:cs="Times New Roman"/>
          <w:b/>
          <w:bCs/>
        </w:rPr>
        <w:t>Presidente do CAU/SP</w:t>
      </w:r>
    </w:p>
    <w:p w14:paraId="3761266D" w14:textId="63B1D2DE" w:rsidR="00266D63" w:rsidRDefault="00266D63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F37DC5" w14:textId="132CB05B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47658F8" w14:textId="3B3FE7A1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1D7D123" w14:textId="4F7EEFF9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3C90F81" w14:textId="6364B5DB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9A18547" w14:textId="3482ABCB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4054AAA" w14:textId="2A0E0CEA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812267A" w14:textId="6B5AFC5F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C90B1A3" w14:textId="75FB8E0E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E85B91A" w14:textId="7B1B0AC2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778BF64" w14:textId="4E53568A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E2BC598" w14:textId="204853C7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1C2C101" w14:textId="7772F051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F7A5308" w14:textId="62D01A45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48CA407" w14:textId="027D8E04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5BDF164" w14:textId="02E25D2E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11D5BA4" w14:textId="1E5189AF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91BC6A8" w14:textId="79A0EAD4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D5DB204" w14:textId="7E83059C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37B40CA" w14:textId="50ACB9B0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6822067" w14:textId="6921C417" w:rsidR="005222ED" w:rsidRDefault="005222ED" w:rsidP="005222ED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14:paraId="4F6C9ACB" w14:textId="147B41EE" w:rsidR="005222ED" w:rsidRDefault="005222ED" w:rsidP="005222ED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sectPr w:rsidR="005222ED" w:rsidSect="0074619C">
      <w:headerReference w:type="default" r:id="rId8"/>
      <w:footerReference w:type="default" r:id="rId9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6978F" w14:textId="77777777" w:rsidR="00D75A8A" w:rsidRDefault="00D75A8A" w:rsidP="007C04F3">
      <w:pPr>
        <w:spacing w:after="0" w:line="240" w:lineRule="auto"/>
      </w:pPr>
      <w:r>
        <w:separator/>
      </w:r>
    </w:p>
  </w:endnote>
  <w:endnote w:type="continuationSeparator" w:id="0">
    <w:p w14:paraId="08AC0FC0" w14:textId="77777777" w:rsidR="00D75A8A" w:rsidRDefault="00D75A8A" w:rsidP="007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211932662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121FB18" w14:textId="7A3B7F0C" w:rsidR="0074619C" w:rsidRPr="00342DB2" w:rsidRDefault="0074619C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342DB2">
              <w:rPr>
                <w:rFonts w:ascii="Times New Roman" w:hAnsi="Times New Roman" w:cs="Times New Roman"/>
                <w:color w:val="000000" w:themeColor="text1"/>
              </w:rPr>
              <w:t>Portaria Normativa CAU/SP n</w:t>
            </w:r>
            <w:r w:rsidR="00D545D3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000DFC">
              <w:rPr>
                <w:rFonts w:ascii="Times New Roman" w:hAnsi="Times New Roman" w:cs="Times New Roman"/>
                <w:color w:val="000000" w:themeColor="text1"/>
              </w:rPr>
              <w:t>º</w:t>
            </w:r>
            <w:r w:rsidRPr="00000DF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00DFC"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="00D545D3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000DFC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342DB2">
              <w:rPr>
                <w:rFonts w:ascii="Times New Roman" w:hAnsi="Times New Roman" w:cs="Times New Roman"/>
                <w:color w:val="000000" w:themeColor="text1"/>
              </w:rPr>
              <w:t>2021</w:t>
            </w:r>
            <w:r w:rsidR="00000DF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42DB2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342DB2">
              <w:rPr>
                <w:rFonts w:ascii="Times New Roman" w:hAnsi="Times New Roman" w:cs="Times New Roman"/>
                <w:color w:val="000000" w:themeColor="text1"/>
              </w:rPr>
              <w:t>P</w:t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ágina 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42DB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4A3C8F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 de 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42DB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4A3C8F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9B30ED2" w14:textId="77777777" w:rsidR="0074619C" w:rsidRDefault="007461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0E5A5" w14:textId="77777777" w:rsidR="00D75A8A" w:rsidRDefault="00D75A8A" w:rsidP="007C04F3">
      <w:pPr>
        <w:spacing w:after="0" w:line="240" w:lineRule="auto"/>
      </w:pPr>
      <w:r>
        <w:separator/>
      </w:r>
    </w:p>
  </w:footnote>
  <w:footnote w:type="continuationSeparator" w:id="0">
    <w:p w14:paraId="72F5249B" w14:textId="77777777" w:rsidR="00D75A8A" w:rsidRDefault="00D75A8A" w:rsidP="007C0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1D7EE" w14:textId="3FE11F97" w:rsidR="007C04F3" w:rsidRDefault="007C04F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85AAAA" wp14:editId="15E2596B">
          <wp:simplePos x="0" y="0"/>
          <wp:positionH relativeFrom="column">
            <wp:posOffset>-1232535</wp:posOffset>
          </wp:positionH>
          <wp:positionV relativeFrom="paragraph">
            <wp:posOffset>-478155</wp:posOffset>
          </wp:positionV>
          <wp:extent cx="7686675" cy="1064895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E0ACA"/>
    <w:multiLevelType w:val="hybridMultilevel"/>
    <w:tmpl w:val="20747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66F21"/>
    <w:multiLevelType w:val="hybridMultilevel"/>
    <w:tmpl w:val="79066C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36D24"/>
    <w:multiLevelType w:val="hybridMultilevel"/>
    <w:tmpl w:val="EF9E26F8"/>
    <w:lvl w:ilvl="0" w:tplc="936281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0212E"/>
    <w:multiLevelType w:val="hybridMultilevel"/>
    <w:tmpl w:val="F8FA11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F5799D"/>
    <w:multiLevelType w:val="hybridMultilevel"/>
    <w:tmpl w:val="1152DB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527EF"/>
    <w:multiLevelType w:val="hybridMultilevel"/>
    <w:tmpl w:val="764A9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F4274"/>
    <w:multiLevelType w:val="hybridMultilevel"/>
    <w:tmpl w:val="F85A3302"/>
    <w:lvl w:ilvl="0" w:tplc="FD3691E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BA601A"/>
    <w:multiLevelType w:val="multilevel"/>
    <w:tmpl w:val="443E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942"/>
    <w:rsid w:val="00000DFC"/>
    <w:rsid w:val="0000235E"/>
    <w:rsid w:val="0000519D"/>
    <w:rsid w:val="00010E57"/>
    <w:rsid w:val="00011EA7"/>
    <w:rsid w:val="000467F2"/>
    <w:rsid w:val="0006196C"/>
    <w:rsid w:val="00074868"/>
    <w:rsid w:val="00084506"/>
    <w:rsid w:val="0009387E"/>
    <w:rsid w:val="000A29DA"/>
    <w:rsid w:val="000A2D7D"/>
    <w:rsid w:val="000A732F"/>
    <w:rsid w:val="000B16BF"/>
    <w:rsid w:val="000B23EA"/>
    <w:rsid w:val="000B7814"/>
    <w:rsid w:val="000C332D"/>
    <w:rsid w:val="000C576B"/>
    <w:rsid w:val="000C6C7A"/>
    <w:rsid w:val="000D37BE"/>
    <w:rsid w:val="000D7EBE"/>
    <w:rsid w:val="00104A86"/>
    <w:rsid w:val="0011051B"/>
    <w:rsid w:val="00126A3C"/>
    <w:rsid w:val="001338F5"/>
    <w:rsid w:val="00140A37"/>
    <w:rsid w:val="00165F0F"/>
    <w:rsid w:val="0016600E"/>
    <w:rsid w:val="00172DDC"/>
    <w:rsid w:val="0017742B"/>
    <w:rsid w:val="00183812"/>
    <w:rsid w:val="00191754"/>
    <w:rsid w:val="0019670A"/>
    <w:rsid w:val="001A5D1F"/>
    <w:rsid w:val="001C2F8B"/>
    <w:rsid w:val="001F40FA"/>
    <w:rsid w:val="00207A94"/>
    <w:rsid w:val="00214962"/>
    <w:rsid w:val="00230F97"/>
    <w:rsid w:val="002464C5"/>
    <w:rsid w:val="00247D7A"/>
    <w:rsid w:val="002549CC"/>
    <w:rsid w:val="00266942"/>
    <w:rsid w:val="00266D63"/>
    <w:rsid w:val="0029351B"/>
    <w:rsid w:val="00293806"/>
    <w:rsid w:val="00293A0F"/>
    <w:rsid w:val="002C1EE6"/>
    <w:rsid w:val="002C4479"/>
    <w:rsid w:val="002E10D2"/>
    <w:rsid w:val="00302575"/>
    <w:rsid w:val="00334AB9"/>
    <w:rsid w:val="00342DB2"/>
    <w:rsid w:val="003729D6"/>
    <w:rsid w:val="00374A3C"/>
    <w:rsid w:val="003D272A"/>
    <w:rsid w:val="00412707"/>
    <w:rsid w:val="00457F9E"/>
    <w:rsid w:val="00462464"/>
    <w:rsid w:val="00463B06"/>
    <w:rsid w:val="004673CE"/>
    <w:rsid w:val="004828DA"/>
    <w:rsid w:val="00482D0E"/>
    <w:rsid w:val="00490B1F"/>
    <w:rsid w:val="004A3C8F"/>
    <w:rsid w:val="004B253F"/>
    <w:rsid w:val="004F225A"/>
    <w:rsid w:val="005222ED"/>
    <w:rsid w:val="00557192"/>
    <w:rsid w:val="00560C9F"/>
    <w:rsid w:val="005720FD"/>
    <w:rsid w:val="00591191"/>
    <w:rsid w:val="0059568D"/>
    <w:rsid w:val="005A58C5"/>
    <w:rsid w:val="005A797B"/>
    <w:rsid w:val="005B0ED3"/>
    <w:rsid w:val="005D479B"/>
    <w:rsid w:val="005F2579"/>
    <w:rsid w:val="006363FB"/>
    <w:rsid w:val="006A527C"/>
    <w:rsid w:val="006A5FF3"/>
    <w:rsid w:val="006B5997"/>
    <w:rsid w:val="006D11BC"/>
    <w:rsid w:val="006F7A68"/>
    <w:rsid w:val="00714A06"/>
    <w:rsid w:val="00730114"/>
    <w:rsid w:val="00730B0C"/>
    <w:rsid w:val="0074619C"/>
    <w:rsid w:val="007760AD"/>
    <w:rsid w:val="007B2816"/>
    <w:rsid w:val="007B7CC1"/>
    <w:rsid w:val="007C04F3"/>
    <w:rsid w:val="007C1839"/>
    <w:rsid w:val="007D03D3"/>
    <w:rsid w:val="007F0CF2"/>
    <w:rsid w:val="007F753C"/>
    <w:rsid w:val="00810CD2"/>
    <w:rsid w:val="008116FC"/>
    <w:rsid w:val="008543D7"/>
    <w:rsid w:val="0086281F"/>
    <w:rsid w:val="00890F64"/>
    <w:rsid w:val="008A5CBE"/>
    <w:rsid w:val="008B5122"/>
    <w:rsid w:val="008B56C5"/>
    <w:rsid w:val="008B762E"/>
    <w:rsid w:val="008C263C"/>
    <w:rsid w:val="008D638A"/>
    <w:rsid w:val="008F17F8"/>
    <w:rsid w:val="00912725"/>
    <w:rsid w:val="0091684D"/>
    <w:rsid w:val="00945B99"/>
    <w:rsid w:val="009B2A4F"/>
    <w:rsid w:val="009B4E0A"/>
    <w:rsid w:val="009D24E1"/>
    <w:rsid w:val="009D7F3A"/>
    <w:rsid w:val="009E005C"/>
    <w:rsid w:val="009E36F6"/>
    <w:rsid w:val="009F0E7B"/>
    <w:rsid w:val="00A144B0"/>
    <w:rsid w:val="00A21FCC"/>
    <w:rsid w:val="00A65063"/>
    <w:rsid w:val="00A734E1"/>
    <w:rsid w:val="00A95925"/>
    <w:rsid w:val="00A9696A"/>
    <w:rsid w:val="00AB1BA5"/>
    <w:rsid w:val="00AC05B2"/>
    <w:rsid w:val="00AC3B7E"/>
    <w:rsid w:val="00AF5C0C"/>
    <w:rsid w:val="00B05799"/>
    <w:rsid w:val="00B1035E"/>
    <w:rsid w:val="00B17B68"/>
    <w:rsid w:val="00B2761B"/>
    <w:rsid w:val="00B3586F"/>
    <w:rsid w:val="00B37E05"/>
    <w:rsid w:val="00B46A0C"/>
    <w:rsid w:val="00B6799A"/>
    <w:rsid w:val="00B80BE7"/>
    <w:rsid w:val="00B91639"/>
    <w:rsid w:val="00B9453A"/>
    <w:rsid w:val="00BA5D10"/>
    <w:rsid w:val="00BB61AB"/>
    <w:rsid w:val="00BC0B14"/>
    <w:rsid w:val="00BD2719"/>
    <w:rsid w:val="00C00600"/>
    <w:rsid w:val="00C157E8"/>
    <w:rsid w:val="00C252F5"/>
    <w:rsid w:val="00C3104C"/>
    <w:rsid w:val="00C333C9"/>
    <w:rsid w:val="00C36538"/>
    <w:rsid w:val="00C74119"/>
    <w:rsid w:val="00C82757"/>
    <w:rsid w:val="00C8620C"/>
    <w:rsid w:val="00C901D8"/>
    <w:rsid w:val="00C94725"/>
    <w:rsid w:val="00CB6AA0"/>
    <w:rsid w:val="00CB7391"/>
    <w:rsid w:val="00CF272E"/>
    <w:rsid w:val="00D229FE"/>
    <w:rsid w:val="00D3117B"/>
    <w:rsid w:val="00D31643"/>
    <w:rsid w:val="00D316A0"/>
    <w:rsid w:val="00D35E0F"/>
    <w:rsid w:val="00D42E8F"/>
    <w:rsid w:val="00D545D3"/>
    <w:rsid w:val="00D56C37"/>
    <w:rsid w:val="00D64CD3"/>
    <w:rsid w:val="00D75A8A"/>
    <w:rsid w:val="00D81C68"/>
    <w:rsid w:val="00D85E09"/>
    <w:rsid w:val="00DA117B"/>
    <w:rsid w:val="00DE299C"/>
    <w:rsid w:val="00E13108"/>
    <w:rsid w:val="00E13317"/>
    <w:rsid w:val="00E51917"/>
    <w:rsid w:val="00E6271D"/>
    <w:rsid w:val="00E80FE3"/>
    <w:rsid w:val="00EA7F59"/>
    <w:rsid w:val="00EB31AE"/>
    <w:rsid w:val="00EB53A9"/>
    <w:rsid w:val="00ED0B7D"/>
    <w:rsid w:val="00EF50C8"/>
    <w:rsid w:val="00F57564"/>
    <w:rsid w:val="00F848A1"/>
    <w:rsid w:val="00F9243A"/>
    <w:rsid w:val="00FA6F45"/>
    <w:rsid w:val="00FB3C95"/>
    <w:rsid w:val="00FE1A6E"/>
    <w:rsid w:val="00FE4FE3"/>
    <w:rsid w:val="0266BBBB"/>
    <w:rsid w:val="0A5FAEEB"/>
    <w:rsid w:val="0F353251"/>
    <w:rsid w:val="297A829C"/>
    <w:rsid w:val="2DB81AA0"/>
    <w:rsid w:val="44E28CC4"/>
    <w:rsid w:val="4CD4764C"/>
    <w:rsid w:val="53147606"/>
    <w:rsid w:val="546F8CF9"/>
    <w:rsid w:val="57395C97"/>
    <w:rsid w:val="5A15AB2C"/>
    <w:rsid w:val="603F54C1"/>
    <w:rsid w:val="63893CBA"/>
    <w:rsid w:val="63FEB742"/>
    <w:rsid w:val="696733F3"/>
    <w:rsid w:val="6E8B536A"/>
    <w:rsid w:val="71C2F42C"/>
    <w:rsid w:val="73A0FEA5"/>
    <w:rsid w:val="75B49BA2"/>
    <w:rsid w:val="77E0A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000D4"/>
  <w15:chartTrackingRefBased/>
  <w15:docId w15:val="{AA57ED97-BB46-4BE7-A8D4-7567A694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1F40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1F40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1F40F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F40F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22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80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B16B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969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9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9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9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96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9696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4F3"/>
  </w:style>
  <w:style w:type="paragraph" w:styleId="Rodap">
    <w:name w:val="footer"/>
    <w:basedOn w:val="Normal"/>
    <w:link w:val="Rodap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4F3"/>
  </w:style>
  <w:style w:type="paragraph" w:customStyle="1" w:styleId="Default">
    <w:name w:val="Default"/>
    <w:rsid w:val="007C04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1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9526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18520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3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6C73E-E795-4289-B7CC-32FB0DA49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954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Palheta Cardoso</dc:creator>
  <cp:keywords/>
  <dc:description/>
  <cp:lastModifiedBy>Ellen Monte Bussi</cp:lastModifiedBy>
  <cp:revision>45</cp:revision>
  <cp:lastPrinted>2021-12-07T18:30:00Z</cp:lastPrinted>
  <dcterms:created xsi:type="dcterms:W3CDTF">2021-08-31T14:14:00Z</dcterms:created>
  <dcterms:modified xsi:type="dcterms:W3CDTF">2021-12-07T18:30:00Z</dcterms:modified>
</cp:coreProperties>
</file>