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368C3C" w14:textId="4152999B" w:rsidR="00443EC8" w:rsidRPr="008F361C" w:rsidRDefault="00962934" w:rsidP="0014544E">
      <w:pPr>
        <w:pStyle w:val="Default"/>
        <w:ind w:right="-568"/>
        <w:jc w:val="center"/>
        <w:rPr>
          <w:b/>
          <w:color w:val="auto"/>
          <w:sz w:val="22"/>
          <w:szCs w:val="22"/>
        </w:rPr>
      </w:pPr>
      <w:bookmarkStart w:id="0" w:name="_GoBack"/>
      <w:r>
        <w:rPr>
          <w:b/>
          <w:color w:val="auto"/>
          <w:sz w:val="22"/>
          <w:szCs w:val="22"/>
        </w:rPr>
        <w:t xml:space="preserve">PORTARIA </w:t>
      </w:r>
      <w:r w:rsidR="004B492B">
        <w:rPr>
          <w:b/>
          <w:color w:val="auto"/>
          <w:sz w:val="22"/>
          <w:szCs w:val="22"/>
        </w:rPr>
        <w:t>NORMATIVA</w:t>
      </w:r>
      <w:r>
        <w:rPr>
          <w:b/>
          <w:color w:val="auto"/>
          <w:sz w:val="22"/>
          <w:szCs w:val="22"/>
        </w:rPr>
        <w:t xml:space="preserve"> CAU/SP</w:t>
      </w:r>
      <w:r w:rsidR="00443EC8" w:rsidRPr="008F361C">
        <w:rPr>
          <w:b/>
          <w:color w:val="auto"/>
          <w:sz w:val="22"/>
          <w:szCs w:val="22"/>
        </w:rPr>
        <w:t xml:space="preserve"> N° </w:t>
      </w:r>
      <w:r w:rsidR="00E365B7">
        <w:rPr>
          <w:b/>
          <w:color w:val="auto"/>
          <w:sz w:val="22"/>
          <w:szCs w:val="22"/>
        </w:rPr>
        <w:t>18</w:t>
      </w:r>
      <w:r w:rsidR="0014544E">
        <w:rPr>
          <w:b/>
          <w:color w:val="auto"/>
          <w:sz w:val="22"/>
          <w:szCs w:val="22"/>
        </w:rPr>
        <w:t>6</w:t>
      </w:r>
      <w:r w:rsidR="008F361C">
        <w:rPr>
          <w:b/>
          <w:color w:val="auto"/>
          <w:sz w:val="22"/>
          <w:szCs w:val="22"/>
        </w:rPr>
        <w:t>,</w:t>
      </w:r>
      <w:r w:rsidR="00443EC8" w:rsidRPr="008F361C">
        <w:rPr>
          <w:b/>
          <w:color w:val="auto"/>
          <w:sz w:val="22"/>
          <w:szCs w:val="22"/>
        </w:rPr>
        <w:t xml:space="preserve"> DE </w:t>
      </w:r>
      <w:r w:rsidR="0014544E">
        <w:rPr>
          <w:b/>
          <w:color w:val="auto"/>
          <w:sz w:val="22"/>
          <w:szCs w:val="22"/>
        </w:rPr>
        <w:t>03</w:t>
      </w:r>
      <w:r w:rsidR="00443EC8" w:rsidRPr="00FD28AE">
        <w:rPr>
          <w:b/>
          <w:color w:val="auto"/>
          <w:sz w:val="22"/>
          <w:szCs w:val="22"/>
        </w:rPr>
        <w:t xml:space="preserve"> DE </w:t>
      </w:r>
      <w:r w:rsidR="0014544E">
        <w:rPr>
          <w:b/>
          <w:color w:val="auto"/>
          <w:sz w:val="22"/>
          <w:szCs w:val="22"/>
        </w:rPr>
        <w:t>DEZEMBRO</w:t>
      </w:r>
      <w:r w:rsidR="00D40C16" w:rsidRPr="00FD28AE">
        <w:rPr>
          <w:b/>
          <w:color w:val="auto"/>
          <w:sz w:val="22"/>
          <w:szCs w:val="22"/>
        </w:rPr>
        <w:t xml:space="preserve"> </w:t>
      </w:r>
      <w:r w:rsidR="00443EC8" w:rsidRPr="00FD28AE">
        <w:rPr>
          <w:b/>
          <w:color w:val="auto"/>
          <w:sz w:val="22"/>
          <w:szCs w:val="22"/>
        </w:rPr>
        <w:t>DE 20</w:t>
      </w:r>
      <w:r w:rsidR="00A7136E" w:rsidRPr="00FD28AE">
        <w:rPr>
          <w:b/>
          <w:color w:val="auto"/>
          <w:sz w:val="22"/>
          <w:szCs w:val="22"/>
        </w:rPr>
        <w:t>20</w:t>
      </w:r>
      <w:r w:rsidR="008F361C">
        <w:rPr>
          <w:b/>
          <w:color w:val="auto"/>
          <w:sz w:val="22"/>
          <w:szCs w:val="22"/>
        </w:rPr>
        <w:t>.</w:t>
      </w:r>
    </w:p>
    <w:p w14:paraId="379B6868" w14:textId="77777777" w:rsidR="000558D7" w:rsidRDefault="000558D7" w:rsidP="0014544E">
      <w:pPr>
        <w:pStyle w:val="Default"/>
        <w:ind w:right="-568"/>
        <w:rPr>
          <w:color w:val="auto"/>
          <w:sz w:val="22"/>
          <w:szCs w:val="22"/>
        </w:rPr>
      </w:pPr>
    </w:p>
    <w:p w14:paraId="570B5CA3" w14:textId="77777777" w:rsidR="0014544E" w:rsidRPr="00251167" w:rsidRDefault="0014544E" w:rsidP="0014544E">
      <w:pPr>
        <w:pStyle w:val="SemEspaamento"/>
        <w:ind w:left="5103" w:right="-568"/>
        <w:jc w:val="both"/>
        <w:rPr>
          <w:rFonts w:ascii="Times New Roman" w:hAnsi="Times New Roman"/>
        </w:rPr>
      </w:pPr>
      <w:r w:rsidRPr="00251167">
        <w:rPr>
          <w:rFonts w:ascii="Times New Roman" w:hAnsi="Times New Roman"/>
        </w:rPr>
        <w:t>Regulamenta o pagamento de honorários advocatícios de sucumbência no âmbito do Conselho de Arquitetura e Urbanismo do CAU/SP</w:t>
      </w:r>
      <w:r>
        <w:rPr>
          <w:rFonts w:ascii="Times New Roman" w:hAnsi="Times New Roman"/>
        </w:rPr>
        <w:t xml:space="preserve"> e revoga a Portaria CAU/SP nº 152, de 22 de dezembro de 2017</w:t>
      </w:r>
      <w:r w:rsidRPr="00251167">
        <w:rPr>
          <w:rFonts w:ascii="Times New Roman" w:hAnsi="Times New Roman"/>
        </w:rPr>
        <w:t>.</w:t>
      </w:r>
    </w:p>
    <w:bookmarkEnd w:id="0"/>
    <w:p w14:paraId="69EDB826" w14:textId="77777777" w:rsidR="0014544E" w:rsidRPr="00251167" w:rsidRDefault="0014544E" w:rsidP="0014544E">
      <w:pPr>
        <w:pStyle w:val="SemEspaamento"/>
        <w:ind w:left="5103" w:right="-568"/>
        <w:jc w:val="both"/>
        <w:rPr>
          <w:rFonts w:ascii="Times New Roman" w:hAnsi="Times New Roman"/>
        </w:rPr>
      </w:pPr>
    </w:p>
    <w:p w14:paraId="5FBE68F6" w14:textId="77777777" w:rsidR="0014544E" w:rsidRPr="0029290C" w:rsidRDefault="0014544E" w:rsidP="0014544E">
      <w:pPr>
        <w:pStyle w:val="SemEspaamento"/>
        <w:ind w:right="-568"/>
        <w:jc w:val="both"/>
        <w:rPr>
          <w:rFonts w:ascii="Times New Roman" w:hAnsi="Times New Roman"/>
        </w:rPr>
      </w:pPr>
      <w:r w:rsidRPr="00251167">
        <w:rPr>
          <w:rFonts w:ascii="Times New Roman" w:hAnsi="Times New Roman"/>
        </w:rPr>
        <w:t xml:space="preserve">O </w:t>
      </w:r>
      <w:r w:rsidRPr="0029290C">
        <w:rPr>
          <w:rFonts w:ascii="Times New Roman" w:hAnsi="Times New Roman"/>
        </w:rPr>
        <w:t>Presidente do Conselho de Arquitetura e Urbanismo de São Paulo- CAU/SP, no uso das atribuições legais previstas no art. 35, inciso III da Lei nº 12.378/2010 e no art. 155, incisos I e XLV e art. 156, do Regimento Interno do CAU/SP, e ainda,</w:t>
      </w:r>
    </w:p>
    <w:p w14:paraId="26CD996F" w14:textId="77777777" w:rsidR="0014544E" w:rsidRPr="00251167" w:rsidRDefault="0014544E" w:rsidP="0014544E">
      <w:pPr>
        <w:pStyle w:val="SemEspaamento"/>
        <w:ind w:right="-568"/>
        <w:jc w:val="both"/>
        <w:rPr>
          <w:rFonts w:ascii="Times New Roman" w:hAnsi="Times New Roman"/>
        </w:rPr>
      </w:pPr>
    </w:p>
    <w:p w14:paraId="3883F8AA" w14:textId="77777777" w:rsidR="0014544E" w:rsidRPr="00251167" w:rsidRDefault="0014544E" w:rsidP="0014544E">
      <w:pPr>
        <w:pStyle w:val="SemEspaamento"/>
        <w:ind w:right="-568"/>
        <w:jc w:val="both"/>
        <w:rPr>
          <w:rFonts w:ascii="Times New Roman" w:hAnsi="Times New Roman"/>
        </w:rPr>
      </w:pPr>
      <w:r w:rsidRPr="00251167">
        <w:rPr>
          <w:rFonts w:ascii="Times New Roman" w:hAnsi="Times New Roman"/>
        </w:rPr>
        <w:t>Considerando a entrada em vigor do novo Código de Processo Civil (Lei 13.105/15), em 18 de março de 2016;</w:t>
      </w:r>
    </w:p>
    <w:p w14:paraId="39E75438" w14:textId="77777777" w:rsidR="0014544E" w:rsidRPr="00251167" w:rsidRDefault="0014544E" w:rsidP="0014544E">
      <w:pPr>
        <w:pStyle w:val="SemEspaamento"/>
        <w:ind w:right="-568"/>
        <w:jc w:val="both"/>
        <w:rPr>
          <w:rFonts w:ascii="Times New Roman" w:hAnsi="Times New Roman"/>
        </w:rPr>
      </w:pPr>
    </w:p>
    <w:p w14:paraId="7A96C69A" w14:textId="77777777" w:rsidR="0014544E" w:rsidRPr="00251167" w:rsidRDefault="0014544E" w:rsidP="0014544E">
      <w:pPr>
        <w:pStyle w:val="SemEspaamento"/>
        <w:ind w:right="-568"/>
        <w:jc w:val="both"/>
        <w:rPr>
          <w:rFonts w:ascii="Times New Roman" w:hAnsi="Times New Roman"/>
        </w:rPr>
      </w:pPr>
      <w:r w:rsidRPr="00251167">
        <w:rPr>
          <w:rFonts w:ascii="Times New Roman" w:hAnsi="Times New Roman"/>
        </w:rPr>
        <w:t>Considerando que o §</w:t>
      </w:r>
      <w:r>
        <w:rPr>
          <w:rFonts w:ascii="Times New Roman" w:hAnsi="Times New Roman"/>
        </w:rPr>
        <w:t xml:space="preserve"> </w:t>
      </w:r>
      <w:r w:rsidRPr="00251167">
        <w:rPr>
          <w:rFonts w:ascii="Times New Roman" w:hAnsi="Times New Roman"/>
        </w:rPr>
        <w:t>19, do art</w:t>
      </w:r>
      <w:r>
        <w:rPr>
          <w:rFonts w:ascii="Times New Roman" w:hAnsi="Times New Roman"/>
        </w:rPr>
        <w:t>.</w:t>
      </w:r>
      <w:r w:rsidRPr="00251167">
        <w:rPr>
          <w:rFonts w:ascii="Times New Roman" w:hAnsi="Times New Roman"/>
        </w:rPr>
        <w:t xml:space="preserve"> 85, do Código de Processo Civil prescreve que “os advogados públicos perceberão honorários de sucumbência, nos termos da lei”;</w:t>
      </w:r>
    </w:p>
    <w:p w14:paraId="054DEF1F" w14:textId="77777777" w:rsidR="0014544E" w:rsidRPr="00251167" w:rsidRDefault="0014544E" w:rsidP="0014544E">
      <w:pPr>
        <w:pStyle w:val="SemEspaamento"/>
        <w:ind w:right="-568"/>
        <w:jc w:val="both"/>
        <w:rPr>
          <w:rFonts w:ascii="Times New Roman" w:hAnsi="Times New Roman"/>
        </w:rPr>
      </w:pPr>
    </w:p>
    <w:p w14:paraId="19DB1E67" w14:textId="77777777" w:rsidR="0014544E" w:rsidRPr="00251167" w:rsidRDefault="0014544E" w:rsidP="0014544E">
      <w:pPr>
        <w:pStyle w:val="SemEspaamento"/>
        <w:ind w:right="-568"/>
        <w:jc w:val="both"/>
        <w:rPr>
          <w:rFonts w:ascii="Times New Roman" w:hAnsi="Times New Roman"/>
        </w:rPr>
      </w:pPr>
      <w:r w:rsidRPr="00251167">
        <w:rPr>
          <w:rFonts w:ascii="Times New Roman" w:hAnsi="Times New Roman"/>
        </w:rPr>
        <w:t>Considerando o que dispõe a norma do §</w:t>
      </w:r>
      <w:r>
        <w:rPr>
          <w:rFonts w:ascii="Times New Roman" w:hAnsi="Times New Roman"/>
        </w:rPr>
        <w:t xml:space="preserve"> </w:t>
      </w:r>
      <w:r w:rsidRPr="00251167">
        <w:rPr>
          <w:rFonts w:ascii="Times New Roman" w:hAnsi="Times New Roman"/>
        </w:rPr>
        <w:t>14, do mesmo art</w:t>
      </w:r>
      <w:r>
        <w:rPr>
          <w:rFonts w:ascii="Times New Roman" w:hAnsi="Times New Roman"/>
        </w:rPr>
        <w:t>.</w:t>
      </w:r>
      <w:r w:rsidRPr="00251167">
        <w:rPr>
          <w:rFonts w:ascii="Times New Roman" w:hAnsi="Times New Roman"/>
        </w:rPr>
        <w:t xml:space="preserve"> 85, do Código de Processo Civil, segundo a qual “os honorários constituem direito do advogado e têm natureza alimentar, com os mesmos privilégios dos créditos da legislação do trabalho, sendo vedada a compensação em caso de sucumbência p</w:t>
      </w:r>
      <w:r>
        <w:rPr>
          <w:rFonts w:ascii="Times New Roman" w:hAnsi="Times New Roman"/>
        </w:rPr>
        <w:t>arcial”;</w:t>
      </w:r>
    </w:p>
    <w:p w14:paraId="062A1A5B" w14:textId="77777777" w:rsidR="0014544E" w:rsidRPr="00251167" w:rsidRDefault="0014544E" w:rsidP="0014544E">
      <w:pPr>
        <w:pStyle w:val="SemEspaamento"/>
        <w:ind w:right="-568"/>
        <w:jc w:val="both"/>
        <w:rPr>
          <w:rFonts w:ascii="Times New Roman" w:hAnsi="Times New Roman"/>
        </w:rPr>
      </w:pPr>
    </w:p>
    <w:p w14:paraId="1841CCBC" w14:textId="77777777" w:rsidR="0014544E" w:rsidRPr="00251167" w:rsidRDefault="0014544E" w:rsidP="0014544E">
      <w:pPr>
        <w:pStyle w:val="SemEspaamento"/>
        <w:ind w:right="-568"/>
        <w:jc w:val="both"/>
        <w:rPr>
          <w:rFonts w:ascii="Times New Roman" w:hAnsi="Times New Roman"/>
        </w:rPr>
      </w:pPr>
      <w:r w:rsidRPr="00251167">
        <w:rPr>
          <w:rFonts w:ascii="Times New Roman" w:hAnsi="Times New Roman"/>
        </w:rPr>
        <w:t xml:space="preserve">Considerando a entrada em vigor da Lei n° 13.327, de 2016, </w:t>
      </w:r>
      <w:r>
        <w:rPr>
          <w:rFonts w:ascii="Times New Roman" w:hAnsi="Times New Roman"/>
        </w:rPr>
        <w:t xml:space="preserve">que </w:t>
      </w:r>
      <w:r w:rsidRPr="00251167">
        <w:rPr>
          <w:rFonts w:ascii="Times New Roman" w:hAnsi="Times New Roman"/>
        </w:rPr>
        <w:t>dispõe sobre honorários advocatícios de sucumbência das causas em que forem parte a União, suas autarquias e fundações;</w:t>
      </w:r>
    </w:p>
    <w:p w14:paraId="2F57FA33" w14:textId="77777777" w:rsidR="0014544E" w:rsidRPr="00251167" w:rsidRDefault="0014544E" w:rsidP="0014544E">
      <w:pPr>
        <w:pStyle w:val="SemEspaamento"/>
        <w:ind w:right="-568"/>
        <w:jc w:val="both"/>
        <w:rPr>
          <w:rFonts w:ascii="Times New Roman" w:hAnsi="Times New Roman"/>
        </w:rPr>
      </w:pPr>
    </w:p>
    <w:p w14:paraId="5D264F51" w14:textId="77777777" w:rsidR="0014544E" w:rsidRPr="00251167" w:rsidRDefault="0014544E" w:rsidP="0014544E">
      <w:pPr>
        <w:pStyle w:val="SemEspaamento"/>
        <w:ind w:right="-568"/>
        <w:jc w:val="both"/>
        <w:rPr>
          <w:rFonts w:ascii="Times New Roman" w:hAnsi="Times New Roman"/>
        </w:rPr>
      </w:pPr>
      <w:r w:rsidRPr="0029290C">
        <w:rPr>
          <w:rFonts w:ascii="Times New Roman" w:hAnsi="Times New Roman"/>
        </w:rPr>
        <w:t>Considerando a revogação do art</w:t>
      </w:r>
      <w:r>
        <w:rPr>
          <w:rFonts w:ascii="Times New Roman" w:hAnsi="Times New Roman"/>
        </w:rPr>
        <w:t>.</w:t>
      </w:r>
      <w:r w:rsidRPr="0029290C">
        <w:rPr>
          <w:rFonts w:ascii="Times New Roman" w:hAnsi="Times New Roman"/>
        </w:rPr>
        <w:t xml:space="preserve"> </w:t>
      </w:r>
      <w:r w:rsidRPr="00251167">
        <w:rPr>
          <w:rFonts w:ascii="Times New Roman" w:hAnsi="Times New Roman"/>
        </w:rPr>
        <w:t>4° da Lei Federal n° 9.527/1997 a qual veda a aplicação do Capítulo V, Título I, da Lei Federal n° 8.906/94 às autarquias;</w:t>
      </w:r>
    </w:p>
    <w:p w14:paraId="21BDB9A2" w14:textId="77777777" w:rsidR="0014544E" w:rsidRPr="00251167" w:rsidRDefault="0014544E" w:rsidP="0014544E">
      <w:pPr>
        <w:pStyle w:val="SemEspaamento"/>
        <w:ind w:right="-568"/>
        <w:jc w:val="both"/>
        <w:rPr>
          <w:rFonts w:ascii="Times New Roman" w:hAnsi="Times New Roman"/>
        </w:rPr>
      </w:pPr>
    </w:p>
    <w:p w14:paraId="06874237" w14:textId="77777777" w:rsidR="0014544E" w:rsidRPr="00251167" w:rsidRDefault="0014544E" w:rsidP="0014544E">
      <w:pPr>
        <w:pStyle w:val="SemEspaamento"/>
        <w:ind w:right="-568"/>
        <w:jc w:val="both"/>
        <w:rPr>
          <w:rFonts w:ascii="Times New Roman" w:hAnsi="Times New Roman"/>
        </w:rPr>
      </w:pPr>
      <w:r w:rsidRPr="00251167">
        <w:rPr>
          <w:rFonts w:ascii="Times New Roman" w:hAnsi="Times New Roman"/>
        </w:rPr>
        <w:t>Considerando o que dispõe a Súmula Vinculante n° 47 do Colendo Supremo Tribunal Federal, aprovada na Sessão Plenária de 27/05/2015, segundo a qual “os honorários advocatícios incluídos na condenação ou destacados do montante principal devido ao credor consubstanciam verba de natureza alimentar cuja satisfação ocorrerá com a expedição de precatório ou requisição de pequeno valor, observada ordem especial restrita aos créditos dessa natureza”, e que possui efeito vinculante em relação aos demais órgãos do Poder Judiciário e à Administração Pública direta e indireta, nas esferas federal, estadual e municipal (art. 103</w:t>
      </w:r>
      <w:r>
        <w:rPr>
          <w:rFonts w:ascii="Times New Roman" w:hAnsi="Times New Roman"/>
        </w:rPr>
        <w:t>-</w:t>
      </w:r>
      <w:r w:rsidRPr="00251167">
        <w:rPr>
          <w:rFonts w:ascii="Times New Roman" w:hAnsi="Times New Roman"/>
        </w:rPr>
        <w:t xml:space="preserve">A, da Constituição da República Federativa do Brasil); </w:t>
      </w:r>
    </w:p>
    <w:p w14:paraId="0E03DA9A" w14:textId="77777777" w:rsidR="0014544E" w:rsidRPr="00251167" w:rsidRDefault="0014544E" w:rsidP="0014544E">
      <w:pPr>
        <w:pStyle w:val="SemEspaamento"/>
        <w:ind w:right="-568"/>
        <w:jc w:val="both"/>
        <w:rPr>
          <w:rFonts w:ascii="Times New Roman" w:hAnsi="Times New Roman"/>
        </w:rPr>
      </w:pPr>
    </w:p>
    <w:p w14:paraId="44E5F646" w14:textId="77777777" w:rsidR="0014544E" w:rsidRPr="00251167" w:rsidRDefault="0014544E" w:rsidP="0014544E">
      <w:pPr>
        <w:pStyle w:val="SemEspaamento"/>
        <w:ind w:right="-568"/>
        <w:jc w:val="both"/>
        <w:rPr>
          <w:rFonts w:ascii="Times New Roman" w:hAnsi="Times New Roman"/>
        </w:rPr>
      </w:pPr>
      <w:r w:rsidRPr="00251167">
        <w:rPr>
          <w:rFonts w:ascii="Times New Roman" w:hAnsi="Times New Roman"/>
        </w:rPr>
        <w:t>Considerando que o art. 21 da Lei Federal n° 8.906/1994 (localizado no Capítulo V, Título I) dispõe que “os honorários de sucumbência são devidos aos advogados empregados”;</w:t>
      </w:r>
    </w:p>
    <w:p w14:paraId="4525BB57" w14:textId="77777777" w:rsidR="0014544E" w:rsidRPr="00251167" w:rsidRDefault="0014544E" w:rsidP="0014544E">
      <w:pPr>
        <w:pStyle w:val="SemEspaamento"/>
        <w:ind w:right="-568"/>
        <w:jc w:val="both"/>
        <w:rPr>
          <w:rFonts w:ascii="Times New Roman" w:hAnsi="Times New Roman"/>
        </w:rPr>
      </w:pPr>
    </w:p>
    <w:p w14:paraId="5390BF43" w14:textId="77777777" w:rsidR="0014544E" w:rsidRPr="00251167" w:rsidRDefault="0014544E" w:rsidP="0014544E">
      <w:pPr>
        <w:pStyle w:val="SemEspaamento"/>
        <w:ind w:right="-568"/>
        <w:jc w:val="both"/>
        <w:rPr>
          <w:rFonts w:ascii="Times New Roman" w:hAnsi="Times New Roman"/>
        </w:rPr>
      </w:pPr>
      <w:r w:rsidRPr="00251167">
        <w:rPr>
          <w:rFonts w:ascii="Times New Roman" w:hAnsi="Times New Roman"/>
        </w:rPr>
        <w:t>Considerando que, com a revogação do art</w:t>
      </w:r>
      <w:r>
        <w:rPr>
          <w:rFonts w:ascii="Times New Roman" w:hAnsi="Times New Roman"/>
        </w:rPr>
        <w:t>.</w:t>
      </w:r>
      <w:r w:rsidRPr="00251167">
        <w:rPr>
          <w:rFonts w:ascii="Times New Roman" w:hAnsi="Times New Roman"/>
        </w:rPr>
        <w:t xml:space="preserve"> 4° da Lei Federal n° 9.527/1997, o art. 21 da Lei Federal n° 8.906/1994 voltou a ser aplicado às autarquias;</w:t>
      </w:r>
    </w:p>
    <w:p w14:paraId="73065231" w14:textId="77777777" w:rsidR="0014544E" w:rsidRDefault="0014544E" w:rsidP="0014544E">
      <w:pPr>
        <w:pStyle w:val="SemEspaamento"/>
        <w:ind w:right="-568"/>
        <w:jc w:val="both"/>
        <w:rPr>
          <w:rFonts w:ascii="Times New Roman" w:hAnsi="Times New Roman"/>
        </w:rPr>
      </w:pPr>
    </w:p>
    <w:p w14:paraId="548C0E5F" w14:textId="77777777" w:rsidR="0014544E" w:rsidRPr="0029290C" w:rsidRDefault="0014544E" w:rsidP="0014544E">
      <w:pPr>
        <w:pStyle w:val="SemEspaamento"/>
        <w:ind w:right="-568"/>
        <w:jc w:val="both"/>
        <w:rPr>
          <w:rFonts w:ascii="Times New Roman" w:hAnsi="Times New Roman"/>
        </w:rPr>
      </w:pPr>
      <w:r w:rsidRPr="0029290C">
        <w:rPr>
          <w:rFonts w:ascii="Times New Roman" w:hAnsi="Times New Roman"/>
        </w:rPr>
        <w:t>Considerando que o art</w:t>
      </w:r>
      <w:r>
        <w:rPr>
          <w:rFonts w:ascii="Times New Roman" w:hAnsi="Times New Roman"/>
        </w:rPr>
        <w:t>.</w:t>
      </w:r>
      <w:r w:rsidRPr="0029290C">
        <w:rPr>
          <w:rFonts w:ascii="Times New Roman" w:hAnsi="Times New Roman"/>
        </w:rPr>
        <w:t xml:space="preserve"> 22 da Lei 8.906/1994 dispõe que “A prestação de serviço profissional assegura aos inscritos na OAB o direito aos honorários convencionados, aos fixados por arbitramento judicial e aos de sucumbência”;</w:t>
      </w:r>
    </w:p>
    <w:p w14:paraId="1C1033FF" w14:textId="77777777" w:rsidR="0014544E" w:rsidRPr="0029290C" w:rsidRDefault="0014544E" w:rsidP="0014544E">
      <w:pPr>
        <w:pStyle w:val="SemEspaamento"/>
        <w:ind w:right="-568"/>
        <w:jc w:val="both"/>
        <w:rPr>
          <w:rFonts w:ascii="Times New Roman" w:hAnsi="Times New Roman"/>
        </w:rPr>
      </w:pPr>
    </w:p>
    <w:p w14:paraId="34A77D2D" w14:textId="77777777" w:rsidR="0014544E" w:rsidRPr="0029290C" w:rsidRDefault="0014544E" w:rsidP="0014544E">
      <w:pPr>
        <w:pStyle w:val="SemEspaamento"/>
        <w:ind w:right="-568"/>
        <w:jc w:val="both"/>
        <w:rPr>
          <w:rFonts w:ascii="Times New Roman" w:hAnsi="Times New Roman"/>
        </w:rPr>
      </w:pPr>
      <w:r w:rsidRPr="0029290C">
        <w:rPr>
          <w:rFonts w:ascii="Times New Roman" w:hAnsi="Times New Roman"/>
        </w:rPr>
        <w:t>Considerando que o Regulamento Geral do Estatuto da Advocacia e da OAB, de 16 de outubro de 1994, do Conselho Federal da OAB, dispõe no art</w:t>
      </w:r>
      <w:r>
        <w:rPr>
          <w:rFonts w:ascii="Times New Roman" w:hAnsi="Times New Roman"/>
        </w:rPr>
        <w:t>.</w:t>
      </w:r>
      <w:r w:rsidRPr="0029290C">
        <w:rPr>
          <w:rFonts w:ascii="Times New Roman" w:hAnsi="Times New Roman"/>
        </w:rPr>
        <w:t xml:space="preserve"> 14, parágrafo único que “Os honorários dos advogados empregados constituem fundo comum, cuja destinação é decidida pelos profissionais integrantes do serviço jurídico da empresa ou por seus representantes”;</w:t>
      </w:r>
    </w:p>
    <w:p w14:paraId="187A0263" w14:textId="77777777" w:rsidR="0014544E" w:rsidRPr="0029290C" w:rsidRDefault="0014544E" w:rsidP="0014544E">
      <w:pPr>
        <w:pStyle w:val="SemEspaamento"/>
        <w:ind w:right="-568"/>
        <w:jc w:val="both"/>
        <w:rPr>
          <w:rFonts w:ascii="Times New Roman" w:hAnsi="Times New Roman"/>
        </w:rPr>
      </w:pPr>
    </w:p>
    <w:p w14:paraId="1BBA5E0B" w14:textId="77777777" w:rsidR="0014544E" w:rsidRPr="00251167" w:rsidRDefault="0014544E" w:rsidP="0014544E">
      <w:pPr>
        <w:pStyle w:val="SemEspaamento"/>
        <w:ind w:right="-568"/>
        <w:jc w:val="both"/>
        <w:rPr>
          <w:rFonts w:ascii="Times New Roman" w:hAnsi="Times New Roman"/>
        </w:rPr>
      </w:pPr>
      <w:r w:rsidRPr="00251167">
        <w:rPr>
          <w:rFonts w:ascii="Times New Roman" w:hAnsi="Times New Roman"/>
        </w:rPr>
        <w:t>Considerando o que dispõe a Súmula n° 06 do Conselho Federal da Ordem dos Advogados do Brasil, segundo a qual “os honorários advocatícios de sucumbência pertencem ao Advogado Estatal, sendo plenamente possível o ajuste entre a entidade e seus advogados”;</w:t>
      </w:r>
    </w:p>
    <w:p w14:paraId="57B689D0" w14:textId="77777777" w:rsidR="0014544E" w:rsidRPr="009504F5" w:rsidRDefault="0014544E" w:rsidP="0014544E">
      <w:pPr>
        <w:pStyle w:val="SemEspaamento"/>
        <w:ind w:right="-568"/>
        <w:jc w:val="both"/>
        <w:rPr>
          <w:rFonts w:ascii="Times New Roman" w:hAnsi="Times New Roman"/>
        </w:rPr>
      </w:pPr>
    </w:p>
    <w:p w14:paraId="10D1C4C9" w14:textId="77777777" w:rsidR="0014544E" w:rsidRPr="0029290C" w:rsidRDefault="0014544E" w:rsidP="0014544E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29290C">
        <w:rPr>
          <w:rFonts w:ascii="Times New Roman" w:hAnsi="Times New Roman"/>
        </w:rPr>
        <w:t>Considerando os diversos despachos dos Magistrados da Justiça Federal da 3ª Região, no sentido de atribuir os honorários advocatícios de sucumbência aos advogados do CAU/SP;</w:t>
      </w:r>
    </w:p>
    <w:p w14:paraId="5A770CCA" w14:textId="77777777" w:rsidR="0014544E" w:rsidRPr="0029290C" w:rsidRDefault="0014544E" w:rsidP="0014544E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24327CF2" w14:textId="77777777" w:rsidR="0014544E" w:rsidRDefault="0014544E" w:rsidP="0014544E">
      <w:pPr>
        <w:pStyle w:val="SemEspaamento"/>
        <w:ind w:right="-568"/>
        <w:jc w:val="both"/>
        <w:rPr>
          <w:rFonts w:ascii="Times New Roman" w:hAnsi="Times New Roman"/>
        </w:rPr>
      </w:pPr>
      <w:r w:rsidRPr="0029290C">
        <w:rPr>
          <w:rFonts w:ascii="Times New Roman" w:hAnsi="Times New Roman"/>
        </w:rPr>
        <w:t>Considerando a Portaria Normativa nº 54, de 18 de maio de 2017, do CAU/BR que informa, especificamente no ar</w:t>
      </w:r>
      <w:r>
        <w:rPr>
          <w:rFonts w:ascii="Times New Roman" w:hAnsi="Times New Roman"/>
        </w:rPr>
        <w:t>t.</w:t>
      </w:r>
      <w:r w:rsidRPr="0029290C">
        <w:rPr>
          <w:rFonts w:ascii="Times New Roman" w:hAnsi="Times New Roman"/>
        </w:rPr>
        <w:t xml:space="preserve"> 1º, § 4º, que os </w:t>
      </w:r>
      <w:r w:rsidRPr="00251167">
        <w:rPr>
          <w:rFonts w:ascii="Times New Roman" w:hAnsi="Times New Roman"/>
        </w:rPr>
        <w:t>honorários advocatícios serão pagos em documento bancário específico nas ações de execuções fiscais;</w:t>
      </w:r>
    </w:p>
    <w:p w14:paraId="3FF02868" w14:textId="77777777" w:rsidR="0014544E" w:rsidRDefault="0014544E" w:rsidP="0014544E">
      <w:pPr>
        <w:pStyle w:val="SemEspaamento"/>
        <w:ind w:right="-568"/>
        <w:jc w:val="both"/>
        <w:rPr>
          <w:rFonts w:ascii="Times New Roman" w:hAnsi="Times New Roman"/>
        </w:rPr>
      </w:pPr>
    </w:p>
    <w:p w14:paraId="7B4AE51C" w14:textId="73D994AC" w:rsidR="0014544E" w:rsidRPr="00251167" w:rsidRDefault="0014544E" w:rsidP="0014544E">
      <w:pPr>
        <w:spacing w:after="0" w:line="240" w:lineRule="auto"/>
        <w:ind w:right="-568"/>
        <w:rPr>
          <w:rFonts w:ascii="Times New Roman" w:eastAsia="Times New Roman" w:hAnsi="Times New Roman"/>
          <w:bCs/>
          <w:lang w:eastAsia="pt-BR"/>
        </w:rPr>
      </w:pPr>
      <w:r w:rsidRPr="00251167">
        <w:rPr>
          <w:rFonts w:ascii="Times New Roman" w:hAnsi="Times New Roman"/>
        </w:rPr>
        <w:t>Considerando a Manifestação Jurídica n</w:t>
      </w:r>
      <w:r>
        <w:rPr>
          <w:rFonts w:ascii="Times New Roman" w:hAnsi="Times New Roman"/>
        </w:rPr>
        <w:t>.º 116/2017-</w:t>
      </w:r>
      <w:r w:rsidRPr="00251167">
        <w:rPr>
          <w:rFonts w:ascii="Times New Roman" w:hAnsi="Times New Roman"/>
        </w:rPr>
        <w:t>CAU/SP-JUR, el</w:t>
      </w:r>
      <w:r>
        <w:rPr>
          <w:rFonts w:ascii="Times New Roman" w:hAnsi="Times New Roman"/>
        </w:rPr>
        <w:t>aborada em 11 de julho de 2017;</w:t>
      </w:r>
    </w:p>
    <w:p w14:paraId="03446062" w14:textId="77777777" w:rsidR="0014544E" w:rsidRPr="00251167" w:rsidRDefault="0014544E" w:rsidP="0014544E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713230CB" w14:textId="77777777" w:rsidR="0014544E" w:rsidRDefault="0014544E" w:rsidP="0014544E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251167">
        <w:rPr>
          <w:rFonts w:ascii="Times New Roman" w:hAnsi="Times New Roman"/>
        </w:rPr>
        <w:t>Considerando a Deliberação Plenária DPOSP nº 0177-04/2017, de 21 de dezembro de 2017 que “Aprova a transferência dos valores referentes a honorários advocatícios sucumbenciais decorrentes das ações de Execução Fiscal aos advogados do Departamento Jurídico do CAU/SP, nos termos da legislação vigente”;</w:t>
      </w:r>
    </w:p>
    <w:p w14:paraId="2D86C77F" w14:textId="77777777" w:rsidR="0014544E" w:rsidRDefault="0014544E" w:rsidP="0014544E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26A02556" w14:textId="77777777" w:rsidR="0014544E" w:rsidRPr="0014487D" w:rsidRDefault="0014544E" w:rsidP="0014544E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14487D">
        <w:rPr>
          <w:rFonts w:ascii="Times New Roman" w:hAnsi="Times New Roman"/>
        </w:rPr>
        <w:t>Considerando o Parecer da Comissão Nacional de Defesa das Prerrogativas e Valorização da Advocacia, do Conselho Federal da OAB, nos autos do Processo n.º 49.000.2018.001734-1, bem como o Parecer da Comissão da Advocacia Pública, da OAB/SP, em resposta à consulta realizada pelo CREMESP, que concluíram pelo direito ao recebimento dos honorários advocatícios pelos advogados dos Conselhos Profissionais;</w:t>
      </w:r>
    </w:p>
    <w:p w14:paraId="68C511AE" w14:textId="77777777" w:rsidR="0014544E" w:rsidRDefault="0014544E" w:rsidP="0014544E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6B443E50" w14:textId="130372A6" w:rsidR="0014544E" w:rsidRDefault="0014544E" w:rsidP="0014544E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29290C">
        <w:rPr>
          <w:rFonts w:ascii="Times New Roman" w:hAnsi="Times New Roman"/>
        </w:rPr>
        <w:t>Considerando a necessidade de se estabelecer procedimentos relativos ao recebimento, destinação, rateio dos honorários advocatícios;</w:t>
      </w:r>
      <w:r>
        <w:rPr>
          <w:rFonts w:ascii="Times New Roman" w:hAnsi="Times New Roman"/>
        </w:rPr>
        <w:t xml:space="preserve"> e</w:t>
      </w:r>
    </w:p>
    <w:p w14:paraId="5C0FAA17" w14:textId="77777777" w:rsidR="0014544E" w:rsidRDefault="0014544E" w:rsidP="0014544E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5FFD1696" w14:textId="3B504F6A" w:rsidR="0014544E" w:rsidRPr="0029290C" w:rsidRDefault="0014544E" w:rsidP="0014544E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</w:t>
      </w:r>
      <w:r w:rsidRPr="00251167">
        <w:rPr>
          <w:rFonts w:ascii="Times New Roman" w:hAnsi="Times New Roman"/>
        </w:rPr>
        <w:t>Manifestação Jurídica</w:t>
      </w:r>
      <w:r>
        <w:rPr>
          <w:rFonts w:ascii="Times New Roman" w:hAnsi="Times New Roman"/>
        </w:rPr>
        <w:t xml:space="preserve"> n.º 012/2020-JUR-CAU/SP e o Memorando n.º 053/2020-JUR-CAU/SP.</w:t>
      </w:r>
    </w:p>
    <w:p w14:paraId="341777CD" w14:textId="77777777" w:rsidR="0014544E" w:rsidRDefault="0014544E" w:rsidP="0014544E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035BCD51" w14:textId="77777777" w:rsidR="0014544E" w:rsidRPr="00251167" w:rsidRDefault="0014544E" w:rsidP="0014544E">
      <w:pPr>
        <w:spacing w:after="0" w:line="240" w:lineRule="auto"/>
        <w:ind w:right="-568"/>
        <w:jc w:val="both"/>
        <w:rPr>
          <w:rFonts w:ascii="Times New Roman" w:hAnsi="Times New Roman"/>
          <w:b/>
        </w:rPr>
      </w:pPr>
      <w:r w:rsidRPr="00251167">
        <w:rPr>
          <w:rFonts w:ascii="Times New Roman" w:hAnsi="Times New Roman"/>
          <w:b/>
        </w:rPr>
        <w:t>RESOLVE:</w:t>
      </w:r>
    </w:p>
    <w:p w14:paraId="73E047BB" w14:textId="77777777" w:rsidR="0014544E" w:rsidRPr="00251167" w:rsidRDefault="0014544E" w:rsidP="0014544E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7E2CD0AF" w14:textId="0651F551" w:rsidR="0014544E" w:rsidRPr="0014487D" w:rsidRDefault="0014544E" w:rsidP="0014544E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1106C4">
        <w:rPr>
          <w:rFonts w:ascii="Times New Roman" w:hAnsi="Times New Roman"/>
        </w:rPr>
        <w:t>Art. 1º</w:t>
      </w:r>
      <w:r w:rsidRPr="0029290C">
        <w:rPr>
          <w:rFonts w:ascii="Times New Roman" w:hAnsi="Times New Roman"/>
        </w:rPr>
        <w:t xml:space="preserve"> Os honorários advocatícios recebidos de terceiros nas causas em que </w:t>
      </w:r>
      <w:r>
        <w:rPr>
          <w:rFonts w:ascii="Times New Roman" w:hAnsi="Times New Roman"/>
        </w:rPr>
        <w:t>seja</w:t>
      </w:r>
      <w:r w:rsidRPr="0029290C">
        <w:rPr>
          <w:rFonts w:ascii="Times New Roman" w:hAnsi="Times New Roman"/>
        </w:rPr>
        <w:t xml:space="preserve"> parte o Conselho de Arquitetura e Urbanismo de São Paulo – CAU/SP </w:t>
      </w:r>
      <w:r w:rsidRPr="0014487D">
        <w:rPr>
          <w:rFonts w:ascii="Times New Roman" w:hAnsi="Times New Roman"/>
        </w:rPr>
        <w:t>pertencem originariamente aos advogados contratados para exercer a representação judicial e extrajudicial do Conselho, vinculados há, no mínimo, 01 (um) ano, à Procuradoria Jurídica do CAU/SP, sem distinção de cargo.</w:t>
      </w:r>
    </w:p>
    <w:p w14:paraId="184EBE3E" w14:textId="77777777" w:rsidR="0014544E" w:rsidRPr="0029290C" w:rsidRDefault="0014544E" w:rsidP="0014544E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1FE4FCF5" w14:textId="77777777" w:rsidR="0014544E" w:rsidRPr="0029290C" w:rsidRDefault="0014544E" w:rsidP="0014544E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29290C">
        <w:rPr>
          <w:rFonts w:ascii="Times New Roman" w:hAnsi="Times New Roman"/>
        </w:rPr>
        <w:t xml:space="preserve">Parágrafo primeiro. Entende-se por honorários advocatícios, para os fins do </w:t>
      </w:r>
      <w:r w:rsidRPr="0081353A">
        <w:rPr>
          <w:rFonts w:ascii="Times New Roman" w:hAnsi="Times New Roman"/>
          <w:i/>
        </w:rPr>
        <w:t>caput</w:t>
      </w:r>
      <w:r w:rsidRPr="0029290C">
        <w:rPr>
          <w:rFonts w:ascii="Times New Roman" w:hAnsi="Times New Roman"/>
        </w:rPr>
        <w:t xml:space="preserve"> deste artigo, o total do produto dos honorários de sucumbência recebidos nas ações judiciais de que seja parte o Conselho de Arquitetura e Urbanismo de São Paulo – CAU/SP, bem como os valores a título de honorários advocatícios que constarem expressamente nos acordos extrajudiciais realizados pelo CAU/SP. </w:t>
      </w:r>
    </w:p>
    <w:p w14:paraId="2EC911D4" w14:textId="77777777" w:rsidR="0014544E" w:rsidRPr="00251167" w:rsidRDefault="0014544E" w:rsidP="0014544E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72BDCF26" w14:textId="113CE1F2" w:rsidR="0014544E" w:rsidRDefault="0014544E" w:rsidP="0014544E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Art. 2º Os valores relativos aos honorários advocatícios de que trata esta Portaria serão igualmente recebidos e rateados entre os advogados que fazem jus aos honorários advocatícios na forma do art. 1º do presente ato normativo.</w:t>
      </w:r>
    </w:p>
    <w:p w14:paraId="76C0DC89" w14:textId="77777777" w:rsidR="0014544E" w:rsidRDefault="0014544E" w:rsidP="0014544E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5FD97E29" w14:textId="67B4B942" w:rsidR="0014544E" w:rsidRDefault="0014544E" w:rsidP="0014544E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§ 1º A fração igualitária dos honorários advocatícios será devida a cada um dos advogados indicados no art. 1º, sempre que o pagamento da referida verba pela parte sucumbente ocorrer na constância do vínculo de emprego dos advogados com o CAU/SP. </w:t>
      </w:r>
    </w:p>
    <w:p w14:paraId="35C9D79E" w14:textId="77777777" w:rsidR="0014544E" w:rsidRPr="00251167" w:rsidRDefault="0014544E" w:rsidP="0014544E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1B619162" w14:textId="1B340999" w:rsidR="0014544E" w:rsidRDefault="0014544E" w:rsidP="0014544E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D2260E">
        <w:rPr>
          <w:rFonts w:ascii="Times New Roman" w:hAnsi="Times New Roman"/>
        </w:rPr>
        <w:t xml:space="preserve">§ 2º </w:t>
      </w:r>
      <w:r w:rsidRPr="00251167">
        <w:rPr>
          <w:rFonts w:ascii="Times New Roman" w:hAnsi="Times New Roman"/>
        </w:rPr>
        <w:t xml:space="preserve">Os honorários </w:t>
      </w:r>
      <w:r>
        <w:rPr>
          <w:rFonts w:ascii="Times New Roman" w:hAnsi="Times New Roman"/>
        </w:rPr>
        <w:t>advocatícios</w:t>
      </w:r>
      <w:r w:rsidRPr="0025116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recebidos na forma do §1º </w:t>
      </w:r>
      <w:r w:rsidRPr="00251167">
        <w:rPr>
          <w:rFonts w:ascii="Times New Roman" w:hAnsi="Times New Roman"/>
        </w:rPr>
        <w:t xml:space="preserve">deverão ser direcionados à Conta Corrente nº 62.000-9, Agência nº 6998-1, Banco do Brasil – Honorários Advocatícios, uma vez que não integram o orçamento geral </w:t>
      </w:r>
      <w:r w:rsidRPr="00D2260E">
        <w:rPr>
          <w:rFonts w:ascii="Times New Roman" w:hAnsi="Times New Roman"/>
        </w:rPr>
        <w:t>do CAU/SP.</w:t>
      </w:r>
    </w:p>
    <w:p w14:paraId="09130CEF" w14:textId="77777777" w:rsidR="0014544E" w:rsidRPr="00251167" w:rsidRDefault="0014544E" w:rsidP="0014544E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3AE3E65F" w14:textId="3660E649" w:rsidR="0014544E" w:rsidRDefault="0014544E" w:rsidP="0014544E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251167">
        <w:rPr>
          <w:rFonts w:ascii="Times New Roman" w:hAnsi="Times New Roman"/>
        </w:rPr>
        <w:t>Art. 3º Os honorários advocatícios</w:t>
      </w:r>
      <w:r>
        <w:rPr>
          <w:rFonts w:ascii="Times New Roman" w:hAnsi="Times New Roman"/>
        </w:rPr>
        <w:t xml:space="preserve"> </w:t>
      </w:r>
      <w:r w:rsidRPr="00251167">
        <w:rPr>
          <w:rFonts w:ascii="Times New Roman" w:hAnsi="Times New Roman"/>
        </w:rPr>
        <w:t>serão pagos mensalmente aos advogados</w:t>
      </w:r>
      <w:r>
        <w:rPr>
          <w:rFonts w:ascii="Times New Roman" w:hAnsi="Times New Roman"/>
        </w:rPr>
        <w:t xml:space="preserve">, impreterivelmente até o dia 20 de cada mês, já considerados os eventuais descontos legais incidentes a título de Imposto sobre a Renda. </w:t>
      </w:r>
    </w:p>
    <w:p w14:paraId="5409912B" w14:textId="77777777" w:rsidR="0014544E" w:rsidRDefault="0014544E" w:rsidP="0014544E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0E13037A" w14:textId="3E6F3EBC" w:rsidR="0014544E" w:rsidRDefault="0014544E" w:rsidP="0014544E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§ 1º A </w:t>
      </w:r>
      <w:r w:rsidRPr="00080D6B">
        <w:rPr>
          <w:rFonts w:ascii="Times New Roman" w:hAnsi="Times New Roman"/>
        </w:rPr>
        <w:t>Gerência Financeira</w:t>
      </w:r>
      <w:r>
        <w:rPr>
          <w:rFonts w:ascii="Times New Roman" w:hAnsi="Times New Roman"/>
        </w:rPr>
        <w:t xml:space="preserve"> do CAU/SP adotará as providências necessárias para viabilizar o crédito dos valores referentes aos honorários de que trata a presente Portaria nas contas bancárias em que são depositados os salários dos empregados relacionados no art. 1º.</w:t>
      </w:r>
    </w:p>
    <w:p w14:paraId="0A792588" w14:textId="77777777" w:rsidR="0014544E" w:rsidRPr="00251167" w:rsidRDefault="0014544E" w:rsidP="0014544E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64A18D73" w14:textId="4CC67F53" w:rsidR="0014544E" w:rsidRPr="00251167" w:rsidRDefault="0014544E" w:rsidP="0014544E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080D6B">
        <w:rPr>
          <w:rFonts w:ascii="Times New Roman" w:hAnsi="Times New Roman"/>
        </w:rPr>
        <w:t xml:space="preserve">§ 2º Os </w:t>
      </w:r>
      <w:r>
        <w:rPr>
          <w:rFonts w:ascii="Times New Roman" w:hAnsi="Times New Roman"/>
        </w:rPr>
        <w:t xml:space="preserve">advogados que fazem jus ao recebimento da verba honorária de que trata esta Portaria deverão ser informados, mensalmente, pela </w:t>
      </w:r>
      <w:r w:rsidRPr="00080D6B">
        <w:rPr>
          <w:rFonts w:ascii="Times New Roman" w:hAnsi="Times New Roman"/>
        </w:rPr>
        <w:t>Gerência Financeira</w:t>
      </w:r>
      <w:r>
        <w:rPr>
          <w:rFonts w:ascii="Times New Roman" w:hAnsi="Times New Roman"/>
        </w:rPr>
        <w:t xml:space="preserve"> do CAU/SP, a respeito do valor total apurado referente à verba honorária, devendo ser discriminados o número do processo judicial e o nome do profissional a que os valores se referem. </w:t>
      </w:r>
    </w:p>
    <w:p w14:paraId="24BC53B7" w14:textId="77777777" w:rsidR="0014544E" w:rsidRPr="00251167" w:rsidRDefault="0014544E" w:rsidP="0014544E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67E44C46" w14:textId="760F6280" w:rsidR="0014544E" w:rsidRPr="00251167" w:rsidRDefault="0014544E" w:rsidP="0014544E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251167">
        <w:rPr>
          <w:rFonts w:ascii="Times New Roman" w:hAnsi="Times New Roman"/>
        </w:rPr>
        <w:t>§</w:t>
      </w:r>
      <w:r>
        <w:rPr>
          <w:rFonts w:ascii="Times New Roman" w:hAnsi="Times New Roman"/>
        </w:rPr>
        <w:t xml:space="preserve"> 3</w:t>
      </w:r>
      <w:r w:rsidRPr="00251167">
        <w:rPr>
          <w:rFonts w:ascii="Times New Roman" w:hAnsi="Times New Roman"/>
        </w:rPr>
        <w:t xml:space="preserve">º Os honorários </w:t>
      </w:r>
      <w:r>
        <w:rPr>
          <w:rFonts w:ascii="Times New Roman" w:hAnsi="Times New Roman"/>
        </w:rPr>
        <w:t>advocatícios</w:t>
      </w:r>
      <w:r w:rsidRPr="00251167">
        <w:rPr>
          <w:rFonts w:ascii="Times New Roman" w:hAnsi="Times New Roman"/>
        </w:rPr>
        <w:t xml:space="preserve"> constituem verba privada variável</w:t>
      </w:r>
      <w:r>
        <w:rPr>
          <w:rFonts w:ascii="Times New Roman" w:hAnsi="Times New Roman"/>
        </w:rPr>
        <w:t>,</w:t>
      </w:r>
      <w:r w:rsidRPr="00251167">
        <w:rPr>
          <w:rFonts w:ascii="Times New Roman" w:hAnsi="Times New Roman"/>
        </w:rPr>
        <w:t xml:space="preserve"> não incorporável</w:t>
      </w:r>
      <w:r>
        <w:rPr>
          <w:rFonts w:ascii="Times New Roman" w:hAnsi="Times New Roman"/>
        </w:rPr>
        <w:t>,</w:t>
      </w:r>
      <w:r w:rsidRPr="00251167">
        <w:rPr>
          <w:rFonts w:ascii="Times New Roman" w:hAnsi="Times New Roman"/>
        </w:rPr>
        <w:t xml:space="preserve"> nem computável para cálculo de qualquer vantagem remuneratória, não estando sujeita à incidência de contribuição previdenciária ou do FGTS.</w:t>
      </w:r>
    </w:p>
    <w:p w14:paraId="3C4F0D7F" w14:textId="77777777" w:rsidR="0014544E" w:rsidRPr="00251167" w:rsidRDefault="0014544E" w:rsidP="0014544E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3FC58279" w14:textId="4742B00D" w:rsidR="0014544E" w:rsidRDefault="0014544E" w:rsidP="0014544E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251167">
        <w:rPr>
          <w:rFonts w:ascii="Times New Roman" w:hAnsi="Times New Roman"/>
        </w:rPr>
        <w:t>§</w:t>
      </w:r>
      <w:r>
        <w:rPr>
          <w:rFonts w:ascii="Times New Roman" w:hAnsi="Times New Roman"/>
        </w:rPr>
        <w:t xml:space="preserve"> 4</w:t>
      </w:r>
      <w:r w:rsidRPr="00251167">
        <w:rPr>
          <w:rFonts w:ascii="Times New Roman" w:hAnsi="Times New Roman"/>
        </w:rPr>
        <w:t>º Os honorários advocatícios não integrarão ou repercutirão na remuneração devida, não servindo de base de cálculo para adicional, gratificação ou qualquer outra vantagem pecuniária e/ou de natureza salarial.</w:t>
      </w:r>
    </w:p>
    <w:p w14:paraId="172B44C9" w14:textId="77777777" w:rsidR="0014544E" w:rsidRDefault="0014544E" w:rsidP="0014544E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71FA8AEA" w14:textId="6468BDC2" w:rsidR="0014544E" w:rsidRPr="00251167" w:rsidRDefault="0014544E" w:rsidP="0014544E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251167">
        <w:rPr>
          <w:rFonts w:ascii="Times New Roman" w:hAnsi="Times New Roman"/>
        </w:rPr>
        <w:t xml:space="preserve">Art. </w:t>
      </w:r>
      <w:r>
        <w:rPr>
          <w:rFonts w:ascii="Times New Roman" w:hAnsi="Times New Roman"/>
        </w:rPr>
        <w:t>4</w:t>
      </w:r>
      <w:r w:rsidRPr="00251167">
        <w:rPr>
          <w:rFonts w:ascii="Times New Roman" w:hAnsi="Times New Roman"/>
        </w:rPr>
        <w:t>º Não afastam o pagamento de honorários as ausências decorrentes de:</w:t>
      </w:r>
    </w:p>
    <w:p w14:paraId="33B0202E" w14:textId="77777777" w:rsidR="0014544E" w:rsidRPr="00251167" w:rsidRDefault="0014544E" w:rsidP="0014544E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251167">
        <w:rPr>
          <w:rFonts w:ascii="Times New Roman" w:hAnsi="Times New Roman"/>
        </w:rPr>
        <w:t>I - Gozo de férias</w:t>
      </w:r>
    </w:p>
    <w:p w14:paraId="06CF5137" w14:textId="77777777" w:rsidR="0014544E" w:rsidRPr="00251167" w:rsidRDefault="0014544E" w:rsidP="0014544E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251167">
        <w:rPr>
          <w:rFonts w:ascii="Times New Roman" w:hAnsi="Times New Roman"/>
        </w:rPr>
        <w:t>II - Licença remunerada;</w:t>
      </w:r>
    </w:p>
    <w:p w14:paraId="5A6B6FEA" w14:textId="77777777" w:rsidR="0014544E" w:rsidRPr="00251167" w:rsidRDefault="0014544E" w:rsidP="0014544E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251167">
        <w:rPr>
          <w:rFonts w:ascii="Times New Roman" w:hAnsi="Times New Roman"/>
        </w:rPr>
        <w:t>III - Licença maternidade, paternidade e por adoção;</w:t>
      </w:r>
    </w:p>
    <w:p w14:paraId="66B1420A" w14:textId="77777777" w:rsidR="0014544E" w:rsidRDefault="0014544E" w:rsidP="0014544E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251167">
        <w:rPr>
          <w:rFonts w:ascii="Times New Roman" w:hAnsi="Times New Roman"/>
        </w:rPr>
        <w:t>IV - Licença para tratamento de saúde.</w:t>
      </w:r>
    </w:p>
    <w:p w14:paraId="393F7843" w14:textId="77777777" w:rsidR="0014544E" w:rsidRDefault="0014544E" w:rsidP="0014544E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52F57B21" w14:textId="2144AFEB" w:rsidR="0014544E" w:rsidRPr="0036696C" w:rsidRDefault="0014544E" w:rsidP="0014544E">
      <w:pPr>
        <w:pStyle w:val="SemEspaamento"/>
        <w:ind w:right="-568"/>
        <w:jc w:val="both"/>
        <w:rPr>
          <w:rFonts w:ascii="Times New Roman" w:hAnsi="Times New Roman"/>
        </w:rPr>
      </w:pPr>
      <w:r w:rsidRPr="0036696C">
        <w:rPr>
          <w:rFonts w:ascii="Times New Roman" w:hAnsi="Times New Roman"/>
        </w:rPr>
        <w:t xml:space="preserve">Art. </w:t>
      </w:r>
      <w:r>
        <w:rPr>
          <w:rFonts w:ascii="Times New Roman" w:hAnsi="Times New Roman"/>
        </w:rPr>
        <w:t>5</w:t>
      </w:r>
      <w:r w:rsidRPr="0036696C">
        <w:rPr>
          <w:rFonts w:ascii="Times New Roman" w:hAnsi="Times New Roman"/>
        </w:rPr>
        <w:t>° Interrompe</w:t>
      </w:r>
      <w:r>
        <w:rPr>
          <w:rFonts w:ascii="Times New Roman" w:hAnsi="Times New Roman"/>
        </w:rPr>
        <w:t>m</w:t>
      </w:r>
      <w:r w:rsidRPr="0036696C">
        <w:rPr>
          <w:rFonts w:ascii="Times New Roman" w:hAnsi="Times New Roman"/>
        </w:rPr>
        <w:t xml:space="preserve"> o recebimento </w:t>
      </w:r>
      <w:r>
        <w:rPr>
          <w:rFonts w:ascii="Times New Roman" w:hAnsi="Times New Roman"/>
        </w:rPr>
        <w:t>dos honorários advocatícios</w:t>
      </w:r>
      <w:r w:rsidRPr="0036696C">
        <w:rPr>
          <w:rFonts w:ascii="Times New Roman" w:hAnsi="Times New Roman"/>
        </w:rPr>
        <w:t>:</w:t>
      </w:r>
    </w:p>
    <w:p w14:paraId="2E818432" w14:textId="77777777" w:rsidR="0014544E" w:rsidRPr="0036696C" w:rsidRDefault="0014544E" w:rsidP="0014544E">
      <w:pPr>
        <w:pStyle w:val="SemEspaamento"/>
        <w:ind w:right="-568"/>
        <w:jc w:val="both"/>
        <w:rPr>
          <w:rFonts w:ascii="Times New Roman" w:hAnsi="Times New Roman"/>
        </w:rPr>
      </w:pPr>
      <w:r w:rsidRPr="0036696C">
        <w:rPr>
          <w:rFonts w:ascii="Times New Roman" w:hAnsi="Times New Roman"/>
        </w:rPr>
        <w:t>I - Licença para tratamento de interesses particulares;</w:t>
      </w:r>
    </w:p>
    <w:p w14:paraId="39B93886" w14:textId="77777777" w:rsidR="0014544E" w:rsidRPr="0036696C" w:rsidRDefault="0014544E" w:rsidP="0014544E">
      <w:pPr>
        <w:pStyle w:val="SemEspaamento"/>
        <w:ind w:right="-568"/>
        <w:jc w:val="both"/>
        <w:rPr>
          <w:rFonts w:ascii="Times New Roman" w:hAnsi="Times New Roman"/>
        </w:rPr>
      </w:pPr>
      <w:r w:rsidRPr="0036696C">
        <w:rPr>
          <w:rFonts w:ascii="Times New Roman" w:hAnsi="Times New Roman"/>
        </w:rPr>
        <w:t>II - Licença para campanha eleitoral;</w:t>
      </w:r>
    </w:p>
    <w:p w14:paraId="11BA35AA" w14:textId="77777777" w:rsidR="0014544E" w:rsidRPr="0036696C" w:rsidRDefault="0014544E" w:rsidP="0014544E">
      <w:pPr>
        <w:pStyle w:val="SemEspaamento"/>
        <w:ind w:right="-568"/>
        <w:jc w:val="both"/>
        <w:rPr>
          <w:rFonts w:ascii="Times New Roman" w:hAnsi="Times New Roman"/>
        </w:rPr>
      </w:pPr>
      <w:r w:rsidRPr="0036696C">
        <w:rPr>
          <w:rFonts w:ascii="Times New Roman" w:hAnsi="Times New Roman"/>
        </w:rPr>
        <w:t>III - Afastamento para exercício de mandato eletivo ou mandato classista;</w:t>
      </w:r>
    </w:p>
    <w:p w14:paraId="2FA96B16" w14:textId="77777777" w:rsidR="0014544E" w:rsidRDefault="0014544E" w:rsidP="0014544E">
      <w:pPr>
        <w:pStyle w:val="SemEspaamento"/>
        <w:ind w:right="-568"/>
        <w:jc w:val="both"/>
        <w:rPr>
          <w:rFonts w:ascii="Times New Roman" w:hAnsi="Times New Roman"/>
        </w:rPr>
      </w:pPr>
      <w:r w:rsidRPr="0036696C">
        <w:rPr>
          <w:rFonts w:ascii="Times New Roman" w:hAnsi="Times New Roman"/>
        </w:rPr>
        <w:t>IV - Suspensão em cumprimento de penalidade disciplinar;</w:t>
      </w:r>
    </w:p>
    <w:p w14:paraId="117E0AE7" w14:textId="77777777" w:rsidR="0014544E" w:rsidRPr="0036696C" w:rsidRDefault="0014544E" w:rsidP="0014544E">
      <w:pPr>
        <w:pStyle w:val="SemEspaamento"/>
        <w:ind w:right="-568"/>
        <w:jc w:val="both"/>
        <w:rPr>
          <w:rFonts w:ascii="Times New Roman" w:hAnsi="Times New Roman"/>
        </w:rPr>
      </w:pPr>
    </w:p>
    <w:p w14:paraId="2B750694" w14:textId="77777777" w:rsidR="0014544E" w:rsidRPr="003F4755" w:rsidRDefault="0014544E" w:rsidP="0014544E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81353A">
        <w:rPr>
          <w:rFonts w:ascii="Times New Roman" w:hAnsi="Times New Roman"/>
        </w:rPr>
        <w:t xml:space="preserve">Parágrafo único. </w:t>
      </w:r>
      <w:r w:rsidRPr="003F4755">
        <w:rPr>
          <w:rFonts w:ascii="Times New Roman" w:hAnsi="Times New Roman"/>
        </w:rPr>
        <w:t xml:space="preserve">O advogado terá direito ao recebimento dos honorários advocatícios após o decurso do período de 01 (um) ano no exercício de suas atividades laborais junto à Procuradoria Jurídica do CAU/SP, contado da cessação do motivo ensejador da interrupção de que trata o </w:t>
      </w:r>
      <w:r w:rsidRPr="003F4755">
        <w:rPr>
          <w:rFonts w:ascii="Times New Roman" w:hAnsi="Times New Roman"/>
          <w:i/>
        </w:rPr>
        <w:t>caput</w:t>
      </w:r>
      <w:r w:rsidRPr="003F4755">
        <w:rPr>
          <w:rFonts w:ascii="Times New Roman" w:hAnsi="Times New Roman"/>
        </w:rPr>
        <w:t xml:space="preserve"> deste artigo.</w:t>
      </w:r>
    </w:p>
    <w:p w14:paraId="438A1A42" w14:textId="77777777" w:rsidR="0014544E" w:rsidRPr="003F4755" w:rsidRDefault="0014544E" w:rsidP="0014544E">
      <w:pPr>
        <w:pStyle w:val="SemEspaamento"/>
        <w:ind w:right="-568"/>
        <w:jc w:val="both"/>
        <w:rPr>
          <w:rFonts w:ascii="Times New Roman" w:hAnsi="Times New Roman"/>
        </w:rPr>
      </w:pPr>
    </w:p>
    <w:p w14:paraId="241E1C30" w14:textId="77777777" w:rsidR="0014544E" w:rsidRPr="003F4755" w:rsidRDefault="0014544E" w:rsidP="0014544E">
      <w:pPr>
        <w:pStyle w:val="SemEspaamento"/>
        <w:ind w:right="-568"/>
        <w:jc w:val="both"/>
        <w:rPr>
          <w:rFonts w:ascii="Times New Roman" w:hAnsi="Times New Roman"/>
        </w:rPr>
      </w:pPr>
      <w:r w:rsidRPr="003F4755">
        <w:rPr>
          <w:rFonts w:ascii="Times New Roman" w:hAnsi="Times New Roman"/>
        </w:rPr>
        <w:t xml:space="preserve">Art. 6º O direito ao recebimento dos honorários advocatícios cessa com o desligamento do advogado </w:t>
      </w:r>
      <w:r>
        <w:rPr>
          <w:rFonts w:ascii="Times New Roman" w:hAnsi="Times New Roman"/>
        </w:rPr>
        <w:t xml:space="preserve">de que trata o art. 1º da presente Portaria </w:t>
      </w:r>
      <w:r w:rsidRPr="003F4755">
        <w:rPr>
          <w:rFonts w:ascii="Times New Roman" w:hAnsi="Times New Roman"/>
        </w:rPr>
        <w:t>dos quadros do CAU/SP.</w:t>
      </w:r>
    </w:p>
    <w:p w14:paraId="322C187B" w14:textId="77777777" w:rsidR="0014544E" w:rsidRPr="00807BEF" w:rsidRDefault="0014544E" w:rsidP="0014544E">
      <w:pPr>
        <w:pStyle w:val="SemEspaamento"/>
        <w:ind w:right="-568"/>
        <w:jc w:val="both"/>
        <w:rPr>
          <w:rFonts w:ascii="Times New Roman" w:hAnsi="Times New Roman"/>
          <w:color w:val="FF0000"/>
        </w:rPr>
      </w:pPr>
    </w:p>
    <w:p w14:paraId="60B4059E" w14:textId="77777777" w:rsidR="0014544E" w:rsidRPr="003F4755" w:rsidRDefault="0014544E" w:rsidP="0014544E">
      <w:pPr>
        <w:pStyle w:val="SemEspaamento"/>
        <w:ind w:right="-568"/>
        <w:jc w:val="both"/>
        <w:rPr>
          <w:rFonts w:ascii="Times New Roman" w:hAnsi="Times New Roman"/>
        </w:rPr>
      </w:pPr>
      <w:r w:rsidRPr="003F4755">
        <w:rPr>
          <w:rFonts w:ascii="Times New Roman" w:hAnsi="Times New Roman"/>
        </w:rPr>
        <w:t xml:space="preserve">§ 1º Na hipótese do </w:t>
      </w:r>
      <w:r w:rsidRPr="003F4755">
        <w:rPr>
          <w:rFonts w:ascii="Times New Roman" w:hAnsi="Times New Roman"/>
          <w:i/>
        </w:rPr>
        <w:t>caput</w:t>
      </w:r>
      <w:r w:rsidRPr="003F4755">
        <w:rPr>
          <w:rFonts w:ascii="Times New Roman" w:hAnsi="Times New Roman"/>
        </w:rPr>
        <w:t xml:space="preserve"> deste artigo, o advogado terá direito ao recebimento de honorários advocatícios proporcionais ao período apurado enquanto vigente o seu vínculo empregatício com o CAU/SP.</w:t>
      </w:r>
    </w:p>
    <w:p w14:paraId="75485D8E" w14:textId="77777777" w:rsidR="0014544E" w:rsidRDefault="0014544E" w:rsidP="0014544E">
      <w:pPr>
        <w:pStyle w:val="SemEspaamen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743A04A6" w14:textId="77777777" w:rsidR="0014544E" w:rsidRDefault="0014544E" w:rsidP="0014544E">
      <w:pPr>
        <w:pStyle w:val="SemEspaamento"/>
        <w:ind w:right="-568"/>
        <w:jc w:val="both"/>
        <w:rPr>
          <w:rFonts w:ascii="Times New Roman" w:hAnsi="Times New Roman"/>
        </w:rPr>
      </w:pPr>
      <w:r w:rsidRPr="00251167">
        <w:rPr>
          <w:rFonts w:ascii="Times New Roman" w:hAnsi="Times New Roman"/>
        </w:rPr>
        <w:t xml:space="preserve">Art. </w:t>
      </w:r>
      <w:r>
        <w:rPr>
          <w:rFonts w:ascii="Times New Roman" w:hAnsi="Times New Roman"/>
        </w:rPr>
        <w:t>7</w:t>
      </w:r>
      <w:r w:rsidRPr="00251167">
        <w:rPr>
          <w:rFonts w:ascii="Times New Roman" w:hAnsi="Times New Roman"/>
        </w:rPr>
        <w:t xml:space="preserve">° </w:t>
      </w:r>
      <w:r>
        <w:rPr>
          <w:rFonts w:ascii="Times New Roman" w:hAnsi="Times New Roman"/>
        </w:rPr>
        <w:t>Fica revogada a Portaria CAU/SP nº 152, de 22 de dezembro de 2017.</w:t>
      </w:r>
    </w:p>
    <w:p w14:paraId="70D13C14" w14:textId="77777777" w:rsidR="0014544E" w:rsidRDefault="0014544E" w:rsidP="0014544E">
      <w:pPr>
        <w:pStyle w:val="SemEspaamento"/>
        <w:ind w:right="-568"/>
        <w:jc w:val="both"/>
        <w:rPr>
          <w:rFonts w:ascii="Times New Roman" w:hAnsi="Times New Roman"/>
        </w:rPr>
      </w:pPr>
    </w:p>
    <w:p w14:paraId="25FABB23" w14:textId="7EB10752" w:rsidR="0014544E" w:rsidRPr="00251167" w:rsidRDefault="0014544E" w:rsidP="0014544E">
      <w:pPr>
        <w:pStyle w:val="SemEspaamen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8º A presente Portaria </w:t>
      </w:r>
      <w:r w:rsidRPr="00251167">
        <w:rPr>
          <w:rFonts w:ascii="Times New Roman" w:hAnsi="Times New Roman"/>
        </w:rPr>
        <w:t>entra em vigor na data de sua publicação.</w:t>
      </w:r>
    </w:p>
    <w:p w14:paraId="1EE9E889" w14:textId="77777777" w:rsidR="0014544E" w:rsidRPr="00251167" w:rsidRDefault="0014544E" w:rsidP="0014544E">
      <w:pPr>
        <w:pStyle w:val="SemEspaamento"/>
        <w:ind w:right="-568"/>
        <w:jc w:val="both"/>
        <w:rPr>
          <w:rFonts w:ascii="Times New Roman" w:hAnsi="Times New Roman"/>
        </w:rPr>
      </w:pPr>
    </w:p>
    <w:p w14:paraId="763B12A1" w14:textId="74854AB4" w:rsidR="0014544E" w:rsidRPr="0014544E" w:rsidRDefault="0014544E" w:rsidP="0014544E">
      <w:pPr>
        <w:pStyle w:val="SemEspaamento"/>
        <w:ind w:right="-568"/>
        <w:jc w:val="center"/>
        <w:rPr>
          <w:rFonts w:ascii="Times New Roman" w:hAnsi="Times New Roman"/>
        </w:rPr>
      </w:pPr>
      <w:r w:rsidRPr="0014544E">
        <w:rPr>
          <w:rFonts w:ascii="Times New Roman" w:hAnsi="Times New Roman"/>
        </w:rPr>
        <w:t>São Paulo, 03 de dezembro de 2020.</w:t>
      </w:r>
    </w:p>
    <w:p w14:paraId="53469D6D" w14:textId="77777777" w:rsidR="0014544E" w:rsidRDefault="0014544E" w:rsidP="0014544E">
      <w:pPr>
        <w:pStyle w:val="SemEspaamento"/>
        <w:ind w:left="2127" w:right="-568"/>
        <w:jc w:val="both"/>
        <w:rPr>
          <w:rFonts w:ascii="Times New Roman" w:hAnsi="Times New Roman"/>
        </w:rPr>
      </w:pPr>
    </w:p>
    <w:p w14:paraId="6872C21B" w14:textId="77777777" w:rsidR="0014544E" w:rsidRPr="00251167" w:rsidRDefault="0014544E" w:rsidP="0014544E">
      <w:pPr>
        <w:pStyle w:val="SemEspaamento"/>
        <w:ind w:left="2127" w:right="-568"/>
        <w:jc w:val="both"/>
        <w:rPr>
          <w:rFonts w:ascii="Times New Roman" w:hAnsi="Times New Roman"/>
        </w:rPr>
      </w:pPr>
    </w:p>
    <w:p w14:paraId="57125103" w14:textId="77777777" w:rsidR="0014544E" w:rsidRDefault="0014544E" w:rsidP="0014544E">
      <w:pPr>
        <w:spacing w:after="0" w:line="240" w:lineRule="auto"/>
        <w:ind w:right="-568"/>
        <w:jc w:val="center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José Roberto Geraldine Junior</w:t>
      </w:r>
    </w:p>
    <w:p w14:paraId="74BAC7F0" w14:textId="77777777" w:rsidR="0014544E" w:rsidRPr="00807BEF" w:rsidRDefault="0014544E" w:rsidP="0014544E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251167">
        <w:rPr>
          <w:rFonts w:ascii="Times New Roman" w:eastAsia="Times New Roman" w:hAnsi="Times New Roman"/>
        </w:rPr>
        <w:t>Presidente do CAU/SP</w:t>
      </w:r>
    </w:p>
    <w:p w14:paraId="67A682D9" w14:textId="77777777" w:rsidR="0057667C" w:rsidRDefault="0057667C" w:rsidP="0014544E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14:paraId="0C6E1E9F" w14:textId="1E0E3467" w:rsidR="00D10577" w:rsidRPr="00A27404" w:rsidRDefault="00D10577" w:rsidP="0014544E">
      <w:pPr>
        <w:tabs>
          <w:tab w:val="left" w:pos="3544"/>
        </w:tabs>
        <w:spacing w:after="0" w:line="240" w:lineRule="auto"/>
        <w:ind w:right="-568"/>
        <w:jc w:val="center"/>
        <w:rPr>
          <w:rFonts w:ascii="Times New Roman" w:hAnsi="Times New Roman"/>
          <w:i/>
        </w:rPr>
      </w:pPr>
      <w:r w:rsidRPr="00A27404">
        <w:rPr>
          <w:rFonts w:ascii="Times New Roman" w:hAnsi="Times New Roman"/>
          <w:i/>
        </w:rPr>
        <w:t xml:space="preserve">(Publicado no sítio eletrônico do CAU/SP em </w:t>
      </w:r>
      <w:r w:rsidR="0014544E">
        <w:rPr>
          <w:rFonts w:ascii="Times New Roman" w:hAnsi="Times New Roman"/>
          <w:i/>
        </w:rPr>
        <w:t>03</w:t>
      </w:r>
      <w:r w:rsidRPr="00A27404">
        <w:rPr>
          <w:rFonts w:ascii="Times New Roman" w:hAnsi="Times New Roman"/>
          <w:i/>
        </w:rPr>
        <w:t>.</w:t>
      </w:r>
      <w:r w:rsidR="006A357E">
        <w:rPr>
          <w:rFonts w:ascii="Times New Roman" w:hAnsi="Times New Roman"/>
          <w:i/>
        </w:rPr>
        <w:t>1</w:t>
      </w:r>
      <w:r w:rsidR="0014544E">
        <w:rPr>
          <w:rFonts w:ascii="Times New Roman" w:hAnsi="Times New Roman"/>
          <w:i/>
        </w:rPr>
        <w:t>2</w:t>
      </w:r>
      <w:r w:rsidRPr="00A27404">
        <w:rPr>
          <w:rFonts w:ascii="Times New Roman" w:hAnsi="Times New Roman"/>
          <w:i/>
        </w:rPr>
        <w:t>.2020)</w:t>
      </w:r>
    </w:p>
    <w:sectPr w:rsidR="00D10577" w:rsidRPr="00A27404" w:rsidSect="0014544E">
      <w:headerReference w:type="default" r:id="rId8"/>
      <w:footerReference w:type="default" r:id="rId9"/>
      <w:pgSz w:w="11906" w:h="16838"/>
      <w:pgMar w:top="1560" w:right="1701" w:bottom="1135" w:left="1701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9BDCF7" w14:textId="77777777" w:rsidR="001070C0" w:rsidRDefault="001070C0" w:rsidP="0082171B">
      <w:pPr>
        <w:spacing w:after="0" w:line="240" w:lineRule="auto"/>
      </w:pPr>
      <w:r>
        <w:separator/>
      </w:r>
    </w:p>
  </w:endnote>
  <w:endnote w:type="continuationSeparator" w:id="0">
    <w:p w14:paraId="4F194BE3" w14:textId="77777777" w:rsidR="001070C0" w:rsidRDefault="001070C0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854C1D" w14:textId="4326C7A2" w:rsidR="004B492B" w:rsidRPr="004B492B" w:rsidRDefault="004B492B" w:rsidP="001D0D3F">
    <w:pPr>
      <w:pStyle w:val="Rodap"/>
      <w:jc w:val="right"/>
      <w:rPr>
        <w:rFonts w:ascii="Times New Roman" w:hAnsi="Times New Roman"/>
      </w:rPr>
    </w:pPr>
    <w:r w:rsidRPr="004B492B">
      <w:rPr>
        <w:rFonts w:ascii="Times New Roman" w:hAnsi="Times New Roman"/>
      </w:rPr>
      <w:t xml:space="preserve">Portaria Normativa CAU/SP n.º </w:t>
    </w:r>
    <w:r w:rsidR="000141E0">
      <w:rPr>
        <w:rFonts w:ascii="Times New Roman" w:hAnsi="Times New Roman"/>
      </w:rPr>
      <w:t>18</w:t>
    </w:r>
    <w:r w:rsidR="0014544E">
      <w:rPr>
        <w:rFonts w:ascii="Times New Roman" w:hAnsi="Times New Roman"/>
      </w:rPr>
      <w:t>6</w:t>
    </w:r>
    <w:r w:rsidRPr="004B492B">
      <w:rPr>
        <w:rFonts w:ascii="Times New Roman" w:hAnsi="Times New Roman"/>
      </w:rPr>
      <w:t xml:space="preserve">/2020 – </w:t>
    </w:r>
    <w:sdt>
      <w:sdtPr>
        <w:rPr>
          <w:rFonts w:ascii="Times New Roman" w:hAnsi="Times New Roman"/>
        </w:rPr>
        <w:id w:val="-1609806889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-965654585"/>
            <w:docPartObj>
              <w:docPartGallery w:val="Page Numbers (Top of Page)"/>
              <w:docPartUnique/>
            </w:docPartObj>
          </w:sdtPr>
          <w:sdtEndPr/>
          <w:sdtContent>
            <w:r w:rsidRPr="004B492B">
              <w:rPr>
                <w:rFonts w:ascii="Times New Roman" w:hAnsi="Times New Roman"/>
              </w:rPr>
              <w:t xml:space="preserve">Página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PAGE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DB256F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4B492B">
              <w:rPr>
                <w:rFonts w:ascii="Times New Roman" w:hAnsi="Times New Roman"/>
              </w:rPr>
              <w:t xml:space="preserve"> de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NUMPAGES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DB256F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60C5D0D8" w14:textId="77777777" w:rsidR="00F34BB8" w:rsidRPr="004B492B" w:rsidRDefault="00F34BB8" w:rsidP="004B492B">
    <w:pPr>
      <w:pStyle w:val="Rodap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106F1D" w14:textId="77777777" w:rsidR="001070C0" w:rsidRDefault="001070C0" w:rsidP="0082171B">
      <w:pPr>
        <w:spacing w:after="0" w:line="240" w:lineRule="auto"/>
      </w:pPr>
      <w:r>
        <w:separator/>
      </w:r>
    </w:p>
  </w:footnote>
  <w:footnote w:type="continuationSeparator" w:id="0">
    <w:p w14:paraId="3EFC8169" w14:textId="77777777" w:rsidR="001070C0" w:rsidRDefault="001070C0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FEE859" w14:textId="64003DB6" w:rsidR="00591322" w:rsidRDefault="00C144A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5AA55E9B" wp14:editId="152B55F3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7" name="Imagem 7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2482A9" w14:textId="77777777" w:rsidR="0082171B" w:rsidRDefault="0082171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749F9"/>
    <w:multiLevelType w:val="hybridMultilevel"/>
    <w:tmpl w:val="D39229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E4530"/>
    <w:multiLevelType w:val="hybridMultilevel"/>
    <w:tmpl w:val="B3A66A1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9F626F"/>
    <w:multiLevelType w:val="hybridMultilevel"/>
    <w:tmpl w:val="AA4C97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9D5C7E"/>
    <w:multiLevelType w:val="hybridMultilevel"/>
    <w:tmpl w:val="332A4210"/>
    <w:lvl w:ilvl="0" w:tplc="5A90C01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5AE66DE8"/>
    <w:multiLevelType w:val="hybridMultilevel"/>
    <w:tmpl w:val="9B7692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141E0"/>
    <w:rsid w:val="000167AB"/>
    <w:rsid w:val="00023C08"/>
    <w:rsid w:val="00025866"/>
    <w:rsid w:val="0003066A"/>
    <w:rsid w:val="000308F2"/>
    <w:rsid w:val="000375F4"/>
    <w:rsid w:val="000558D7"/>
    <w:rsid w:val="00057BBF"/>
    <w:rsid w:val="00073965"/>
    <w:rsid w:val="00090671"/>
    <w:rsid w:val="00092F89"/>
    <w:rsid w:val="000932E2"/>
    <w:rsid w:val="000965E3"/>
    <w:rsid w:val="00096839"/>
    <w:rsid w:val="000A0223"/>
    <w:rsid w:val="000A2EA3"/>
    <w:rsid w:val="000B3D07"/>
    <w:rsid w:val="000B7600"/>
    <w:rsid w:val="000E480F"/>
    <w:rsid w:val="000F5F58"/>
    <w:rsid w:val="001021E8"/>
    <w:rsid w:val="001070C0"/>
    <w:rsid w:val="00107E5F"/>
    <w:rsid w:val="00113F28"/>
    <w:rsid w:val="0011606D"/>
    <w:rsid w:val="00117134"/>
    <w:rsid w:val="00130CEC"/>
    <w:rsid w:val="0014529E"/>
    <w:rsid w:val="0014544E"/>
    <w:rsid w:val="001461A0"/>
    <w:rsid w:val="00151680"/>
    <w:rsid w:val="00154B1C"/>
    <w:rsid w:val="001649F7"/>
    <w:rsid w:val="001678BC"/>
    <w:rsid w:val="00170BFE"/>
    <w:rsid w:val="0017166F"/>
    <w:rsid w:val="0017293F"/>
    <w:rsid w:val="00174895"/>
    <w:rsid w:val="0018662C"/>
    <w:rsid w:val="00187B90"/>
    <w:rsid w:val="001916C0"/>
    <w:rsid w:val="001A1984"/>
    <w:rsid w:val="001A4284"/>
    <w:rsid w:val="001B386B"/>
    <w:rsid w:val="001B4D74"/>
    <w:rsid w:val="001B5895"/>
    <w:rsid w:val="001B5A63"/>
    <w:rsid w:val="001B6749"/>
    <w:rsid w:val="001D0D3F"/>
    <w:rsid w:val="001D62D1"/>
    <w:rsid w:val="0020054B"/>
    <w:rsid w:val="002019CF"/>
    <w:rsid w:val="00203B3B"/>
    <w:rsid w:val="00211950"/>
    <w:rsid w:val="002329FC"/>
    <w:rsid w:val="002359BB"/>
    <w:rsid w:val="00236C8C"/>
    <w:rsid w:val="0024294C"/>
    <w:rsid w:val="00247103"/>
    <w:rsid w:val="00256FBD"/>
    <w:rsid w:val="002663AB"/>
    <w:rsid w:val="00271244"/>
    <w:rsid w:val="00271D0D"/>
    <w:rsid w:val="00273565"/>
    <w:rsid w:val="0027491D"/>
    <w:rsid w:val="00275B2E"/>
    <w:rsid w:val="00280708"/>
    <w:rsid w:val="00284BEF"/>
    <w:rsid w:val="00292A04"/>
    <w:rsid w:val="0029352C"/>
    <w:rsid w:val="00294733"/>
    <w:rsid w:val="002B6EE0"/>
    <w:rsid w:val="002B7BF7"/>
    <w:rsid w:val="002C3FAE"/>
    <w:rsid w:val="002D1D62"/>
    <w:rsid w:val="002D6091"/>
    <w:rsid w:val="002D6766"/>
    <w:rsid w:val="002E37F8"/>
    <w:rsid w:val="002E40A2"/>
    <w:rsid w:val="002F0C3F"/>
    <w:rsid w:val="0030664E"/>
    <w:rsid w:val="003066D5"/>
    <w:rsid w:val="00311462"/>
    <w:rsid w:val="00311CE1"/>
    <w:rsid w:val="00315929"/>
    <w:rsid w:val="00323DBB"/>
    <w:rsid w:val="00342056"/>
    <w:rsid w:val="00342CDA"/>
    <w:rsid w:val="00343372"/>
    <w:rsid w:val="00344912"/>
    <w:rsid w:val="0034557B"/>
    <w:rsid w:val="003477A5"/>
    <w:rsid w:val="00347F77"/>
    <w:rsid w:val="0035620E"/>
    <w:rsid w:val="0036391B"/>
    <w:rsid w:val="00364D74"/>
    <w:rsid w:val="00372E8E"/>
    <w:rsid w:val="00375E9B"/>
    <w:rsid w:val="003819D6"/>
    <w:rsid w:val="0039187B"/>
    <w:rsid w:val="00395C09"/>
    <w:rsid w:val="003A4BC1"/>
    <w:rsid w:val="003A605C"/>
    <w:rsid w:val="003A7C4E"/>
    <w:rsid w:val="003D0C41"/>
    <w:rsid w:val="003D5230"/>
    <w:rsid w:val="003E38FA"/>
    <w:rsid w:val="0040755F"/>
    <w:rsid w:val="004107EC"/>
    <w:rsid w:val="004147CB"/>
    <w:rsid w:val="00415D05"/>
    <w:rsid w:val="00416F19"/>
    <w:rsid w:val="00417481"/>
    <w:rsid w:val="004223E3"/>
    <w:rsid w:val="004253BB"/>
    <w:rsid w:val="004328D5"/>
    <w:rsid w:val="0043337B"/>
    <w:rsid w:val="00434AC7"/>
    <w:rsid w:val="00435E94"/>
    <w:rsid w:val="00443EC8"/>
    <w:rsid w:val="00453A66"/>
    <w:rsid w:val="00460053"/>
    <w:rsid w:val="00466361"/>
    <w:rsid w:val="004679C8"/>
    <w:rsid w:val="00471D32"/>
    <w:rsid w:val="0049667A"/>
    <w:rsid w:val="004A51FC"/>
    <w:rsid w:val="004B492B"/>
    <w:rsid w:val="004C60AE"/>
    <w:rsid w:val="004C64B8"/>
    <w:rsid w:val="004E0D25"/>
    <w:rsid w:val="004E1A41"/>
    <w:rsid w:val="004E3D23"/>
    <w:rsid w:val="0050146C"/>
    <w:rsid w:val="0050148A"/>
    <w:rsid w:val="005033F0"/>
    <w:rsid w:val="00514C9C"/>
    <w:rsid w:val="00522CD4"/>
    <w:rsid w:val="0052719F"/>
    <w:rsid w:val="005278DA"/>
    <w:rsid w:val="00530157"/>
    <w:rsid w:val="00530C72"/>
    <w:rsid w:val="00533F92"/>
    <w:rsid w:val="00535369"/>
    <w:rsid w:val="005511F6"/>
    <w:rsid w:val="005542CC"/>
    <w:rsid w:val="00560269"/>
    <w:rsid w:val="00565BE7"/>
    <w:rsid w:val="00574900"/>
    <w:rsid w:val="0057667C"/>
    <w:rsid w:val="00585928"/>
    <w:rsid w:val="00591322"/>
    <w:rsid w:val="00594047"/>
    <w:rsid w:val="005A23DB"/>
    <w:rsid w:val="005A64FB"/>
    <w:rsid w:val="005A76A6"/>
    <w:rsid w:val="005B7D3B"/>
    <w:rsid w:val="005C4A2B"/>
    <w:rsid w:val="005C538A"/>
    <w:rsid w:val="005D0E31"/>
    <w:rsid w:val="005D36ED"/>
    <w:rsid w:val="005E095E"/>
    <w:rsid w:val="005E25CD"/>
    <w:rsid w:val="005E329B"/>
    <w:rsid w:val="006003B6"/>
    <w:rsid w:val="006060D9"/>
    <w:rsid w:val="006109BF"/>
    <w:rsid w:val="006158FA"/>
    <w:rsid w:val="00616700"/>
    <w:rsid w:val="0061755E"/>
    <w:rsid w:val="006246F5"/>
    <w:rsid w:val="00625A13"/>
    <w:rsid w:val="00667F76"/>
    <w:rsid w:val="00673209"/>
    <w:rsid w:val="006A1251"/>
    <w:rsid w:val="006A357E"/>
    <w:rsid w:val="006D6138"/>
    <w:rsid w:val="006E0BA4"/>
    <w:rsid w:val="006E456E"/>
    <w:rsid w:val="006F6362"/>
    <w:rsid w:val="007072AF"/>
    <w:rsid w:val="007254AE"/>
    <w:rsid w:val="00725835"/>
    <w:rsid w:val="00735308"/>
    <w:rsid w:val="00737CAE"/>
    <w:rsid w:val="0074472B"/>
    <w:rsid w:val="00744C97"/>
    <w:rsid w:val="00746E4A"/>
    <w:rsid w:val="00750500"/>
    <w:rsid w:val="007512B4"/>
    <w:rsid w:val="007535B9"/>
    <w:rsid w:val="007548FA"/>
    <w:rsid w:val="00771543"/>
    <w:rsid w:val="0077374D"/>
    <w:rsid w:val="00773CE2"/>
    <w:rsid w:val="00774DF7"/>
    <w:rsid w:val="0077528A"/>
    <w:rsid w:val="00787935"/>
    <w:rsid w:val="00797C16"/>
    <w:rsid w:val="007B3011"/>
    <w:rsid w:val="007D190A"/>
    <w:rsid w:val="007D1D0D"/>
    <w:rsid w:val="007E1F00"/>
    <w:rsid w:val="007E34EF"/>
    <w:rsid w:val="007E3D35"/>
    <w:rsid w:val="008025D9"/>
    <w:rsid w:val="00803AC5"/>
    <w:rsid w:val="008065E3"/>
    <w:rsid w:val="00806D4F"/>
    <w:rsid w:val="00807822"/>
    <w:rsid w:val="00814909"/>
    <w:rsid w:val="0082171B"/>
    <w:rsid w:val="008243CE"/>
    <w:rsid w:val="0083760D"/>
    <w:rsid w:val="00844FC5"/>
    <w:rsid w:val="00850114"/>
    <w:rsid w:val="00867A77"/>
    <w:rsid w:val="00870F59"/>
    <w:rsid w:val="00880F82"/>
    <w:rsid w:val="00884696"/>
    <w:rsid w:val="008A15A4"/>
    <w:rsid w:val="008A1BCA"/>
    <w:rsid w:val="008A5617"/>
    <w:rsid w:val="008B29A1"/>
    <w:rsid w:val="008B4876"/>
    <w:rsid w:val="008B7C37"/>
    <w:rsid w:val="008C36D1"/>
    <w:rsid w:val="008D19F4"/>
    <w:rsid w:val="008D2008"/>
    <w:rsid w:val="008D20AC"/>
    <w:rsid w:val="008D3D86"/>
    <w:rsid w:val="008E0367"/>
    <w:rsid w:val="008E3B37"/>
    <w:rsid w:val="008E510A"/>
    <w:rsid w:val="008F0438"/>
    <w:rsid w:val="008F361C"/>
    <w:rsid w:val="00903EFE"/>
    <w:rsid w:val="009107F4"/>
    <w:rsid w:val="00913E6E"/>
    <w:rsid w:val="0092261F"/>
    <w:rsid w:val="00924D3D"/>
    <w:rsid w:val="009341BE"/>
    <w:rsid w:val="00935A09"/>
    <w:rsid w:val="00946590"/>
    <w:rsid w:val="0094731B"/>
    <w:rsid w:val="00952902"/>
    <w:rsid w:val="009544B1"/>
    <w:rsid w:val="00957783"/>
    <w:rsid w:val="00962934"/>
    <w:rsid w:val="00967F8D"/>
    <w:rsid w:val="009819E7"/>
    <w:rsid w:val="00983591"/>
    <w:rsid w:val="00983970"/>
    <w:rsid w:val="009A1719"/>
    <w:rsid w:val="009A723A"/>
    <w:rsid w:val="009B1703"/>
    <w:rsid w:val="009B33C2"/>
    <w:rsid w:val="009B57DC"/>
    <w:rsid w:val="009B599D"/>
    <w:rsid w:val="009B5CD1"/>
    <w:rsid w:val="009C070E"/>
    <w:rsid w:val="009C3BF6"/>
    <w:rsid w:val="009C4E1E"/>
    <w:rsid w:val="009C7B51"/>
    <w:rsid w:val="009D2C68"/>
    <w:rsid w:val="009D3490"/>
    <w:rsid w:val="009E042A"/>
    <w:rsid w:val="009F234D"/>
    <w:rsid w:val="009F4049"/>
    <w:rsid w:val="009F40C0"/>
    <w:rsid w:val="00A13B5A"/>
    <w:rsid w:val="00A2111E"/>
    <w:rsid w:val="00A21A2E"/>
    <w:rsid w:val="00A26A56"/>
    <w:rsid w:val="00A27404"/>
    <w:rsid w:val="00A2747F"/>
    <w:rsid w:val="00A27D15"/>
    <w:rsid w:val="00A31102"/>
    <w:rsid w:val="00A32B7A"/>
    <w:rsid w:val="00A343BA"/>
    <w:rsid w:val="00A34B82"/>
    <w:rsid w:val="00A37943"/>
    <w:rsid w:val="00A441F2"/>
    <w:rsid w:val="00A6055A"/>
    <w:rsid w:val="00A612D8"/>
    <w:rsid w:val="00A6673C"/>
    <w:rsid w:val="00A7136E"/>
    <w:rsid w:val="00A81D93"/>
    <w:rsid w:val="00AA30AF"/>
    <w:rsid w:val="00AA3706"/>
    <w:rsid w:val="00AC20B8"/>
    <w:rsid w:val="00AD4644"/>
    <w:rsid w:val="00AD7993"/>
    <w:rsid w:val="00AE22AE"/>
    <w:rsid w:val="00AF187A"/>
    <w:rsid w:val="00AF3582"/>
    <w:rsid w:val="00B0057A"/>
    <w:rsid w:val="00B017BA"/>
    <w:rsid w:val="00B0480E"/>
    <w:rsid w:val="00B073B1"/>
    <w:rsid w:val="00B11A38"/>
    <w:rsid w:val="00B12082"/>
    <w:rsid w:val="00B14215"/>
    <w:rsid w:val="00B14473"/>
    <w:rsid w:val="00B14864"/>
    <w:rsid w:val="00B209C8"/>
    <w:rsid w:val="00B24AF7"/>
    <w:rsid w:val="00B26311"/>
    <w:rsid w:val="00B311EB"/>
    <w:rsid w:val="00B31DAF"/>
    <w:rsid w:val="00B32B49"/>
    <w:rsid w:val="00B33126"/>
    <w:rsid w:val="00B4177A"/>
    <w:rsid w:val="00B41D1B"/>
    <w:rsid w:val="00B5510C"/>
    <w:rsid w:val="00B55908"/>
    <w:rsid w:val="00B56F07"/>
    <w:rsid w:val="00B57DEF"/>
    <w:rsid w:val="00B6602E"/>
    <w:rsid w:val="00B665FD"/>
    <w:rsid w:val="00B7554E"/>
    <w:rsid w:val="00B7688A"/>
    <w:rsid w:val="00B83ECA"/>
    <w:rsid w:val="00B91E0D"/>
    <w:rsid w:val="00B94029"/>
    <w:rsid w:val="00B9553C"/>
    <w:rsid w:val="00B96DE2"/>
    <w:rsid w:val="00B96F2F"/>
    <w:rsid w:val="00BA174A"/>
    <w:rsid w:val="00BA3CA5"/>
    <w:rsid w:val="00BB11D4"/>
    <w:rsid w:val="00BB1B50"/>
    <w:rsid w:val="00BB2B00"/>
    <w:rsid w:val="00BB32AF"/>
    <w:rsid w:val="00BB5160"/>
    <w:rsid w:val="00BB5BC1"/>
    <w:rsid w:val="00BC3E40"/>
    <w:rsid w:val="00BD45F0"/>
    <w:rsid w:val="00BE0967"/>
    <w:rsid w:val="00BE1E22"/>
    <w:rsid w:val="00BE24D4"/>
    <w:rsid w:val="00BE5B7C"/>
    <w:rsid w:val="00BF165D"/>
    <w:rsid w:val="00C11F58"/>
    <w:rsid w:val="00C144AD"/>
    <w:rsid w:val="00C14848"/>
    <w:rsid w:val="00C37450"/>
    <w:rsid w:val="00C4168B"/>
    <w:rsid w:val="00C43B19"/>
    <w:rsid w:val="00C52A6E"/>
    <w:rsid w:val="00C575A4"/>
    <w:rsid w:val="00C6078F"/>
    <w:rsid w:val="00C72B49"/>
    <w:rsid w:val="00C7477D"/>
    <w:rsid w:val="00C75957"/>
    <w:rsid w:val="00C90EBD"/>
    <w:rsid w:val="00C96D1B"/>
    <w:rsid w:val="00CA2C9D"/>
    <w:rsid w:val="00CA7813"/>
    <w:rsid w:val="00CB0A07"/>
    <w:rsid w:val="00CC1078"/>
    <w:rsid w:val="00CC5851"/>
    <w:rsid w:val="00CC64E3"/>
    <w:rsid w:val="00CE03EC"/>
    <w:rsid w:val="00CE0A63"/>
    <w:rsid w:val="00CE3B60"/>
    <w:rsid w:val="00CF0393"/>
    <w:rsid w:val="00CF407C"/>
    <w:rsid w:val="00D02186"/>
    <w:rsid w:val="00D033EF"/>
    <w:rsid w:val="00D04024"/>
    <w:rsid w:val="00D0570F"/>
    <w:rsid w:val="00D10577"/>
    <w:rsid w:val="00D12D12"/>
    <w:rsid w:val="00D22BC7"/>
    <w:rsid w:val="00D2425F"/>
    <w:rsid w:val="00D247D4"/>
    <w:rsid w:val="00D27F2A"/>
    <w:rsid w:val="00D33648"/>
    <w:rsid w:val="00D40C16"/>
    <w:rsid w:val="00D54EDA"/>
    <w:rsid w:val="00D6504A"/>
    <w:rsid w:val="00D72F54"/>
    <w:rsid w:val="00D8708F"/>
    <w:rsid w:val="00D90B68"/>
    <w:rsid w:val="00DA0920"/>
    <w:rsid w:val="00DA29EC"/>
    <w:rsid w:val="00DB256F"/>
    <w:rsid w:val="00DC2748"/>
    <w:rsid w:val="00DE7B45"/>
    <w:rsid w:val="00DF23A6"/>
    <w:rsid w:val="00DF40DE"/>
    <w:rsid w:val="00DF415E"/>
    <w:rsid w:val="00DF59A6"/>
    <w:rsid w:val="00E07A3C"/>
    <w:rsid w:val="00E12461"/>
    <w:rsid w:val="00E17035"/>
    <w:rsid w:val="00E30255"/>
    <w:rsid w:val="00E3085F"/>
    <w:rsid w:val="00E356EC"/>
    <w:rsid w:val="00E365B7"/>
    <w:rsid w:val="00E40B95"/>
    <w:rsid w:val="00E44F74"/>
    <w:rsid w:val="00E454A1"/>
    <w:rsid w:val="00E463C8"/>
    <w:rsid w:val="00E463F5"/>
    <w:rsid w:val="00E53A5C"/>
    <w:rsid w:val="00E63DC2"/>
    <w:rsid w:val="00E70BD9"/>
    <w:rsid w:val="00E74433"/>
    <w:rsid w:val="00E7591D"/>
    <w:rsid w:val="00E77996"/>
    <w:rsid w:val="00E9177E"/>
    <w:rsid w:val="00E92B5A"/>
    <w:rsid w:val="00E93E7E"/>
    <w:rsid w:val="00E94DCF"/>
    <w:rsid w:val="00E96715"/>
    <w:rsid w:val="00EA216F"/>
    <w:rsid w:val="00EA7517"/>
    <w:rsid w:val="00EB1792"/>
    <w:rsid w:val="00EB329B"/>
    <w:rsid w:val="00EC3221"/>
    <w:rsid w:val="00ED3D58"/>
    <w:rsid w:val="00EE681A"/>
    <w:rsid w:val="00EE6CD5"/>
    <w:rsid w:val="00EF0F1C"/>
    <w:rsid w:val="00EF1953"/>
    <w:rsid w:val="00EF7390"/>
    <w:rsid w:val="00F12013"/>
    <w:rsid w:val="00F160B8"/>
    <w:rsid w:val="00F321D1"/>
    <w:rsid w:val="00F324D1"/>
    <w:rsid w:val="00F34BB8"/>
    <w:rsid w:val="00F34F9B"/>
    <w:rsid w:val="00F46FC1"/>
    <w:rsid w:val="00F51BA1"/>
    <w:rsid w:val="00F55FF0"/>
    <w:rsid w:val="00F6237F"/>
    <w:rsid w:val="00F64AA0"/>
    <w:rsid w:val="00F771B3"/>
    <w:rsid w:val="00F8100E"/>
    <w:rsid w:val="00F84FEF"/>
    <w:rsid w:val="00F87FEA"/>
    <w:rsid w:val="00F93F5C"/>
    <w:rsid w:val="00F9639D"/>
    <w:rsid w:val="00FA22BC"/>
    <w:rsid w:val="00FB2FFE"/>
    <w:rsid w:val="00FB63B8"/>
    <w:rsid w:val="00FC12B0"/>
    <w:rsid w:val="00FC34C8"/>
    <w:rsid w:val="00FC3B9B"/>
    <w:rsid w:val="00FD28AE"/>
    <w:rsid w:val="00FD2E57"/>
    <w:rsid w:val="00FD32D6"/>
    <w:rsid w:val="00FE6985"/>
    <w:rsid w:val="00FF6354"/>
    <w:rsid w:val="00FF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5D4993"/>
  <w15:docId w15:val="{5C443744-7C38-48D6-BF8A-23C36B78E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177A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8D20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8D20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PargrafodaLista">
    <w:name w:val="List Paragraph"/>
    <w:aliases w:val="titulo1"/>
    <w:basedOn w:val="Normal"/>
    <w:link w:val="PargrafodaListaChar"/>
    <w:qFormat/>
    <w:rsid w:val="009B57D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E3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8E3B37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443EC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8D20AC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3Char">
    <w:name w:val="Título 3 Char"/>
    <w:basedOn w:val="Fontepargpadro"/>
    <w:link w:val="Ttulo3"/>
    <w:uiPriority w:val="9"/>
    <w:rsid w:val="008D20AC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AC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8D19F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padro">
    <w:name w:val="padro"/>
    <w:basedOn w:val="Normal"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57783"/>
    <w:rPr>
      <w:color w:val="0563C1"/>
      <w:u w:val="single"/>
    </w:rPr>
  </w:style>
  <w:style w:type="character" w:styleId="nfase">
    <w:name w:val="Emphasis"/>
    <w:basedOn w:val="Fontepargpadro"/>
    <w:uiPriority w:val="20"/>
    <w:qFormat/>
    <w:rsid w:val="00957783"/>
    <w:rPr>
      <w:i/>
      <w:iCs/>
    </w:rPr>
  </w:style>
  <w:style w:type="character" w:customStyle="1" w:styleId="PargrafodaListaChar">
    <w:name w:val="Parágrafo da Lista Char"/>
    <w:aliases w:val="titulo1 Char"/>
    <w:link w:val="PargrafodaLista"/>
    <w:locked/>
    <w:rsid w:val="000A2EA3"/>
    <w:rPr>
      <w:sz w:val="22"/>
      <w:szCs w:val="22"/>
      <w:lang w:eastAsia="en-US"/>
    </w:rPr>
  </w:style>
  <w:style w:type="paragraph" w:customStyle="1" w:styleId="dou-paragraph">
    <w:name w:val="dou-paragraph"/>
    <w:basedOn w:val="Normal"/>
    <w:rsid w:val="00F160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14544E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A98647-4F3C-47B8-ACF3-B8A025588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1387</Words>
  <Characters>7494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36</cp:revision>
  <cp:lastPrinted>2020-12-03T18:32:00Z</cp:lastPrinted>
  <dcterms:created xsi:type="dcterms:W3CDTF">2020-10-29T12:51:00Z</dcterms:created>
  <dcterms:modified xsi:type="dcterms:W3CDTF">2020-12-03T18:32:00Z</dcterms:modified>
</cp:coreProperties>
</file>