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1E9CBB06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485DD5">
        <w:rPr>
          <w:b/>
          <w:sz w:val="22"/>
          <w:szCs w:val="22"/>
        </w:rPr>
        <w:t>506</w:t>
      </w:r>
      <w:r w:rsidRPr="00A84A85">
        <w:rPr>
          <w:b/>
          <w:sz w:val="22"/>
          <w:szCs w:val="22"/>
        </w:rPr>
        <w:t xml:space="preserve">, DE </w:t>
      </w:r>
      <w:r w:rsidR="00485DD5">
        <w:rPr>
          <w:b/>
          <w:sz w:val="22"/>
          <w:szCs w:val="22"/>
        </w:rPr>
        <w:t>19</w:t>
      </w:r>
      <w:r w:rsidRPr="00A84A85">
        <w:rPr>
          <w:b/>
          <w:sz w:val="22"/>
          <w:szCs w:val="22"/>
        </w:rPr>
        <w:t xml:space="preserve"> DE </w:t>
      </w:r>
      <w:r w:rsidR="00485DD5">
        <w:rPr>
          <w:b/>
          <w:sz w:val="22"/>
          <w:szCs w:val="22"/>
        </w:rPr>
        <w:t>ABRIL</w:t>
      </w:r>
      <w:r w:rsidRPr="00A84A85">
        <w:rPr>
          <w:b/>
          <w:sz w:val="22"/>
          <w:szCs w:val="22"/>
        </w:rPr>
        <w:t xml:space="preserve"> DE 202</w:t>
      </w:r>
      <w:r w:rsidR="00485DD5">
        <w:rPr>
          <w:b/>
          <w:sz w:val="22"/>
          <w:szCs w:val="22"/>
        </w:rPr>
        <w:t>3</w:t>
      </w:r>
      <w:r w:rsidRPr="00A84A85">
        <w:rPr>
          <w:b/>
          <w:sz w:val="22"/>
          <w:szCs w:val="22"/>
        </w:rPr>
        <w:t>.</w:t>
      </w:r>
    </w:p>
    <w:p w14:paraId="14980261" w14:textId="11EE3F71" w:rsidR="00EC1992" w:rsidRPr="00EC1992" w:rsidRDefault="00EC1992" w:rsidP="00EC1992">
      <w:pPr>
        <w:ind w:right="566"/>
        <w:jc w:val="center"/>
        <w:rPr>
          <w:i/>
          <w:color w:val="2E74B5" w:themeColor="accent1" w:themeShade="BF"/>
          <w:sz w:val="22"/>
          <w:szCs w:val="22"/>
        </w:rPr>
      </w:pPr>
      <w:r w:rsidRPr="00EC1992">
        <w:rPr>
          <w:i/>
          <w:color w:val="2E74B5" w:themeColor="accent1" w:themeShade="BF"/>
          <w:sz w:val="22"/>
          <w:szCs w:val="22"/>
        </w:rPr>
        <w:t xml:space="preserve">(Retificada pela </w:t>
      </w:r>
      <w:r w:rsidRPr="00EC1992">
        <w:rPr>
          <w:i/>
          <w:color w:val="2E74B5" w:themeColor="accent1" w:themeShade="BF"/>
          <w:sz w:val="22"/>
          <w:szCs w:val="22"/>
        </w:rPr>
        <w:t>Portaria Presidencial CAU/SP n.º 508/2023)</w:t>
      </w:r>
    </w:p>
    <w:p w14:paraId="34D08B39" w14:textId="3BDFD26A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3E7AD853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485DD5">
        <w:rPr>
          <w:sz w:val="22"/>
          <w:szCs w:val="22"/>
        </w:rPr>
        <w:t>8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 xml:space="preserve">, no âmbito do Processo </w:t>
      </w:r>
      <w:r w:rsidR="00485DD5">
        <w:rPr>
          <w:sz w:val="22"/>
          <w:szCs w:val="22"/>
        </w:rPr>
        <w:t xml:space="preserve">SEI </w:t>
      </w:r>
      <w:r w:rsidRPr="00A84A85">
        <w:rPr>
          <w:sz w:val="22"/>
          <w:szCs w:val="22"/>
        </w:rPr>
        <w:t xml:space="preserve">nº </w:t>
      </w:r>
      <w:hyperlink r:id="rId11" w:tgtFrame="ifrVisualizacao" w:history="1">
        <w:r w:rsidR="00485DD5" w:rsidRPr="00485DD5">
          <w:rPr>
            <w:sz w:val="22"/>
            <w:szCs w:val="22"/>
          </w:rPr>
          <w:t>00179.000699/2023-71</w:t>
        </w:r>
      </w:hyperlink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485DD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3396F293" w:rsidR="00E32FFC" w:rsidRPr="001234EF" w:rsidRDefault="00E32FFC" w:rsidP="009D5796">
      <w:pPr>
        <w:ind w:left="567" w:right="566"/>
        <w:contextualSpacing/>
        <w:jc w:val="both"/>
        <w:rPr>
          <w:sz w:val="22"/>
          <w:szCs w:val="22"/>
        </w:rPr>
      </w:pPr>
      <w:r w:rsidRPr="001234EF">
        <w:rPr>
          <w:sz w:val="22"/>
          <w:szCs w:val="22"/>
        </w:rPr>
        <w:t xml:space="preserve">Considerando a abertura do Processo </w:t>
      </w:r>
      <w:r w:rsidR="00485DD5">
        <w:rPr>
          <w:sz w:val="22"/>
          <w:szCs w:val="22"/>
        </w:rPr>
        <w:t xml:space="preserve">SEI nº </w:t>
      </w:r>
      <w:r w:rsidR="00485DD5" w:rsidRPr="00485DD5">
        <w:rPr>
          <w:sz w:val="22"/>
          <w:szCs w:val="22"/>
        </w:rPr>
        <w:t> </w:t>
      </w:r>
      <w:hyperlink r:id="rId12" w:tgtFrame="_blank" w:history="1">
        <w:r w:rsidR="00485DD5" w:rsidRPr="00485DD5">
          <w:rPr>
            <w:sz w:val="22"/>
            <w:szCs w:val="22"/>
          </w:rPr>
          <w:t>00179.00000113/2022-88</w:t>
        </w:r>
      </w:hyperlink>
      <w:r w:rsidRPr="001234EF">
        <w:rPr>
          <w:sz w:val="22"/>
          <w:szCs w:val="22"/>
        </w:rPr>
        <w:t xml:space="preserve">, para a realização de chamamento público que tem por objeto a seleção de Organizações da Sociedade Civil (OSC) </w:t>
      </w:r>
      <w:r w:rsidR="00A84A85" w:rsidRPr="001234EF">
        <w:rPr>
          <w:sz w:val="22"/>
          <w:szCs w:val="22"/>
        </w:rPr>
        <w:t xml:space="preserve">para a celebração de Parcerias com o Conselho de Arquitetura e Urbanismo de São Paulo – CAU/SP, por meio de Termos de Fomento </w:t>
      </w:r>
      <w:r w:rsidR="009D5796" w:rsidRPr="009D5796">
        <w:rPr>
          <w:sz w:val="22"/>
          <w:szCs w:val="22"/>
        </w:rPr>
        <w:t>para o desenvolvimento e a execução de projetos de fomento para ações de acervo e</w:t>
      </w:r>
      <w:r w:rsidR="009D5796">
        <w:rPr>
          <w:sz w:val="22"/>
          <w:szCs w:val="22"/>
        </w:rPr>
        <w:t xml:space="preserve"> </w:t>
      </w:r>
      <w:r w:rsidR="009D5796" w:rsidRPr="009D5796">
        <w:rPr>
          <w:sz w:val="22"/>
          <w:szCs w:val="22"/>
        </w:rPr>
        <w:t>memória, capacitação, apoio a projetos e assistência técnica</w:t>
      </w:r>
      <w:r w:rsidR="009D5796">
        <w:rPr>
          <w:sz w:val="22"/>
          <w:szCs w:val="22"/>
        </w:rPr>
        <w:t xml:space="preserve">, </w:t>
      </w:r>
      <w:r w:rsidR="00A84A85" w:rsidRPr="001234EF">
        <w:rPr>
          <w:sz w:val="22"/>
          <w:szCs w:val="22"/>
        </w:rPr>
        <w:t xml:space="preserve">de acordo com o Edital de Chamamento Público nº </w:t>
      </w:r>
      <w:r w:rsidR="00BA51AB" w:rsidRPr="001234EF">
        <w:rPr>
          <w:sz w:val="22"/>
          <w:szCs w:val="22"/>
        </w:rPr>
        <w:t>00</w:t>
      </w:r>
      <w:r w:rsidR="00485DD5">
        <w:rPr>
          <w:sz w:val="22"/>
          <w:szCs w:val="22"/>
        </w:rPr>
        <w:t>8</w:t>
      </w:r>
      <w:r w:rsidR="00BA51AB" w:rsidRPr="001234EF">
        <w:rPr>
          <w:sz w:val="22"/>
          <w:szCs w:val="22"/>
        </w:rPr>
        <w:t>/2022</w:t>
      </w:r>
      <w:r w:rsidRPr="001234EF">
        <w:rPr>
          <w:sz w:val="22"/>
          <w:szCs w:val="22"/>
        </w:rPr>
        <w:t>;</w:t>
      </w:r>
    </w:p>
    <w:p w14:paraId="6143F5D5" w14:textId="77777777" w:rsidR="009D5796" w:rsidRDefault="009D5796" w:rsidP="009D5796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4FD22605" w:rsidR="00E32FFC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</w:t>
      </w:r>
      <w:r w:rsidR="00485DD5">
        <w:rPr>
          <w:rFonts w:ascii="Times New Roman" w:hAnsi="Times New Roman"/>
          <w:sz w:val="22"/>
          <w:szCs w:val="22"/>
          <w:lang w:val="pt-BR"/>
        </w:rPr>
        <w:t xml:space="preserve">rmos da legislação mencionada; </w:t>
      </w:r>
    </w:p>
    <w:p w14:paraId="03758DEB" w14:textId="77777777" w:rsidR="00485DD5" w:rsidRDefault="00485DD5" w:rsidP="00485DD5">
      <w:pPr>
        <w:ind w:left="567" w:right="566"/>
        <w:contextualSpacing/>
        <w:jc w:val="both"/>
        <w:rPr>
          <w:sz w:val="22"/>
          <w:szCs w:val="22"/>
        </w:rPr>
      </w:pPr>
    </w:p>
    <w:p w14:paraId="4C0969C1" w14:textId="54ADD7E4" w:rsidR="00485DD5" w:rsidRPr="00A84A85" w:rsidRDefault="00485DD5" w:rsidP="00485DD5">
      <w:pPr>
        <w:ind w:left="567" w:right="566"/>
        <w:contextualSpacing/>
        <w:jc w:val="both"/>
        <w:rPr>
          <w:sz w:val="22"/>
          <w:szCs w:val="22"/>
        </w:rPr>
      </w:pPr>
      <w:r w:rsidRPr="00485DD5">
        <w:rPr>
          <w:sz w:val="22"/>
          <w:szCs w:val="22"/>
        </w:rPr>
        <w:t>Considerando a abertura do processo de Gestão de Pessoas nº 011/2023 para os trâmites desta designação</w:t>
      </w:r>
      <w:r>
        <w:rPr>
          <w:sz w:val="22"/>
          <w:szCs w:val="22"/>
        </w:rPr>
        <w:t>; e</w:t>
      </w:r>
    </w:p>
    <w:p w14:paraId="002BD84F" w14:textId="77777777" w:rsidR="00E32FFC" w:rsidRPr="00A84A85" w:rsidRDefault="00E32FFC" w:rsidP="00485DD5">
      <w:pPr>
        <w:ind w:left="567" w:right="566"/>
        <w:contextualSpacing/>
        <w:jc w:val="both"/>
        <w:rPr>
          <w:sz w:val="22"/>
          <w:szCs w:val="22"/>
        </w:rPr>
      </w:pPr>
    </w:p>
    <w:p w14:paraId="3F30779A" w14:textId="2C4020CB" w:rsidR="00E32FFC" w:rsidRPr="00485DD5" w:rsidRDefault="00E32FFC" w:rsidP="00485DD5">
      <w:pPr>
        <w:ind w:left="567" w:right="566"/>
        <w:contextualSpacing/>
        <w:jc w:val="both"/>
        <w:rPr>
          <w:sz w:val="22"/>
          <w:szCs w:val="22"/>
        </w:rPr>
      </w:pPr>
      <w:r w:rsidRPr="00485DD5">
        <w:rPr>
          <w:sz w:val="22"/>
          <w:szCs w:val="22"/>
        </w:rPr>
        <w:t xml:space="preserve">Considerando a solicitação </w:t>
      </w:r>
      <w:r w:rsidR="00485DD5">
        <w:rPr>
          <w:sz w:val="22"/>
          <w:szCs w:val="22"/>
        </w:rPr>
        <w:t>do</w:t>
      </w:r>
      <w:r w:rsidRPr="00485DD5">
        <w:rPr>
          <w:sz w:val="22"/>
          <w:szCs w:val="22"/>
        </w:rPr>
        <w:t xml:space="preserve"> Memorando </w:t>
      </w:r>
      <w:r w:rsidR="00485DD5" w:rsidRPr="00485DD5">
        <w:rPr>
          <w:sz w:val="22"/>
          <w:szCs w:val="22"/>
        </w:rPr>
        <w:t>82/2023-CAUSP/GADM/GP</w:t>
      </w:r>
      <w:r w:rsidRPr="00485DD5">
        <w:rPr>
          <w:sz w:val="22"/>
          <w:szCs w:val="22"/>
        </w:rPr>
        <w:t>, c</w:t>
      </w:r>
      <w:r w:rsidR="00485DD5" w:rsidRPr="00485DD5">
        <w:rPr>
          <w:sz w:val="22"/>
          <w:szCs w:val="22"/>
        </w:rPr>
        <w:t>onstante</w:t>
      </w:r>
      <w:r w:rsidRPr="00485DD5">
        <w:rPr>
          <w:sz w:val="22"/>
          <w:szCs w:val="22"/>
        </w:rPr>
        <w:t xml:space="preserve"> do </w:t>
      </w:r>
      <w:r w:rsidR="00485DD5" w:rsidRPr="00485DD5">
        <w:rPr>
          <w:sz w:val="22"/>
          <w:szCs w:val="22"/>
        </w:rPr>
        <w:t xml:space="preserve">Processo SEI nº </w:t>
      </w:r>
      <w:hyperlink r:id="rId13" w:tgtFrame="ifrVisualizacao" w:history="1">
        <w:r w:rsidR="00485DD5" w:rsidRPr="00485DD5">
          <w:rPr>
            <w:sz w:val="22"/>
            <w:szCs w:val="22"/>
          </w:rPr>
          <w:t>00179.000699/2023-71</w:t>
        </w:r>
      </w:hyperlink>
      <w:r w:rsidR="00485DD5">
        <w:rPr>
          <w:sz w:val="22"/>
          <w:szCs w:val="22"/>
        </w:rPr>
        <w:t>.</w:t>
      </w:r>
    </w:p>
    <w:p w14:paraId="266EE377" w14:textId="77777777" w:rsidR="00485DD5" w:rsidRPr="00A84A85" w:rsidRDefault="00485DD5" w:rsidP="00485DD5">
      <w:pPr>
        <w:pStyle w:val="Default"/>
        <w:ind w:left="567" w:right="566"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05DF5244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</w:t>
      </w:r>
      <w:r w:rsidR="00485DD5">
        <w:rPr>
          <w:sz w:val="22"/>
          <w:szCs w:val="22"/>
        </w:rPr>
        <w:t>8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no âmbito do </w:t>
      </w:r>
      <w:r w:rsidR="00485DD5" w:rsidRPr="001234EF">
        <w:rPr>
          <w:sz w:val="22"/>
          <w:szCs w:val="22"/>
        </w:rPr>
        <w:t xml:space="preserve">Processo </w:t>
      </w:r>
      <w:r w:rsidR="00485DD5">
        <w:rPr>
          <w:sz w:val="22"/>
          <w:szCs w:val="22"/>
        </w:rPr>
        <w:t xml:space="preserve">SEI nº </w:t>
      </w:r>
      <w:r w:rsidR="00485DD5" w:rsidRPr="00485DD5">
        <w:rPr>
          <w:sz w:val="22"/>
          <w:szCs w:val="22"/>
        </w:rPr>
        <w:t> </w:t>
      </w:r>
      <w:hyperlink r:id="rId14" w:tgtFrame="_blank" w:history="1">
        <w:r w:rsidR="00485DD5" w:rsidRPr="00485DD5">
          <w:rPr>
            <w:sz w:val="22"/>
            <w:szCs w:val="22"/>
          </w:rPr>
          <w:t>00179.00000113/2022-88</w:t>
        </w:r>
      </w:hyperlink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6CA3832E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7549C">
        <w:rPr>
          <w:sz w:val="22"/>
          <w:szCs w:val="22"/>
        </w:rPr>
        <w:lastRenderedPageBreak/>
        <w:t>Art. 3º A Comissão de Monitoramento e Avaliação de que trata o art</w:t>
      </w:r>
      <w:r w:rsidR="00BA51AB" w:rsidRPr="00A7549C">
        <w:rPr>
          <w:sz w:val="22"/>
          <w:szCs w:val="22"/>
        </w:rPr>
        <w:t>. 1º</w:t>
      </w:r>
      <w:r w:rsidRPr="00A7549C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63F6A9CA" w:rsidR="00E32FFC" w:rsidRPr="00EC1992" w:rsidRDefault="00485DD5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i/>
          <w:color w:val="2E74B5" w:themeColor="accent1" w:themeShade="BF"/>
          <w:sz w:val="22"/>
          <w:szCs w:val="22"/>
        </w:rPr>
      </w:pPr>
      <w:r w:rsidRPr="00485DD5">
        <w:rPr>
          <w:sz w:val="22"/>
          <w:szCs w:val="22"/>
        </w:rPr>
        <w:t>Maria Leide Arcanjo Lima Silva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485DD5">
        <w:rPr>
          <w:sz w:val="22"/>
          <w:szCs w:val="22"/>
        </w:rPr>
        <w:t>Assistente</w:t>
      </w:r>
      <w:r w:rsidR="00A7549C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485DD5">
        <w:rPr>
          <w:sz w:val="22"/>
          <w:szCs w:val="22"/>
        </w:rPr>
        <w:t>Coordenação de</w:t>
      </w:r>
      <w:r w:rsidR="00EC1992">
        <w:rPr>
          <w:sz w:val="22"/>
          <w:szCs w:val="22"/>
        </w:rPr>
        <w:t xml:space="preserve"> Comunicação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 w:rsidRPr="00485DD5">
        <w:rPr>
          <w:sz w:val="22"/>
          <w:szCs w:val="22"/>
        </w:rPr>
        <w:t>32</w:t>
      </w:r>
      <w:r w:rsidR="00A7549C" w:rsidRPr="00485DD5">
        <w:rPr>
          <w:sz w:val="22"/>
          <w:szCs w:val="22"/>
        </w:rPr>
        <w:t>0</w:t>
      </w:r>
      <w:r w:rsidR="00E32FFC" w:rsidRPr="00A7549C">
        <w:rPr>
          <w:sz w:val="22"/>
          <w:szCs w:val="22"/>
        </w:rPr>
        <w:t>;</w:t>
      </w:r>
      <w:r w:rsidR="00EC1992">
        <w:rPr>
          <w:sz w:val="22"/>
          <w:szCs w:val="22"/>
        </w:rPr>
        <w:t xml:space="preserve"> </w:t>
      </w:r>
      <w:r w:rsidR="00EC1992" w:rsidRPr="00EC1992">
        <w:rPr>
          <w:i/>
          <w:color w:val="2E74B5" w:themeColor="accent1" w:themeShade="BF"/>
          <w:sz w:val="22"/>
          <w:szCs w:val="22"/>
        </w:rPr>
        <w:t>(Retificado pela Portaria Presidencial CAU/SP n.º 508/2023)</w:t>
      </w:r>
    </w:p>
    <w:p w14:paraId="38B828C7" w14:textId="77777777" w:rsidR="00EC1992" w:rsidRPr="00EC1992" w:rsidRDefault="00485DD5" w:rsidP="00EC1992">
      <w:pPr>
        <w:pStyle w:val="PargrafodaLista"/>
        <w:numPr>
          <w:ilvl w:val="0"/>
          <w:numId w:val="4"/>
        </w:numPr>
        <w:ind w:left="851" w:right="566" w:hanging="284"/>
        <w:jc w:val="both"/>
        <w:rPr>
          <w:i/>
          <w:color w:val="2E74B5" w:themeColor="accent1" w:themeShade="BF"/>
          <w:sz w:val="22"/>
          <w:szCs w:val="22"/>
        </w:rPr>
      </w:pPr>
      <w:r w:rsidRPr="00485DD5">
        <w:rPr>
          <w:sz w:val="22"/>
          <w:szCs w:val="22"/>
        </w:rPr>
        <w:t>Selma Janete Coelho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485DD5">
        <w:rPr>
          <w:sz w:val="22"/>
          <w:szCs w:val="22"/>
        </w:rPr>
        <w:t>Assistente</w:t>
      </w:r>
      <w:r w:rsidR="00E32FFC" w:rsidRPr="00A7549C">
        <w:rPr>
          <w:sz w:val="22"/>
          <w:szCs w:val="22"/>
        </w:rPr>
        <w:t xml:space="preserve"> – </w:t>
      </w:r>
      <w:r w:rsidR="00EC1992">
        <w:rPr>
          <w:sz w:val="22"/>
          <w:szCs w:val="22"/>
        </w:rPr>
        <w:t>Coordenação de Contas a Receber</w:t>
      </w:r>
      <w:r w:rsidR="00E32FFC" w:rsidRPr="00A7549C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188</w:t>
      </w:r>
      <w:r w:rsidR="00E32FFC" w:rsidRPr="00A7549C">
        <w:rPr>
          <w:sz w:val="22"/>
          <w:szCs w:val="22"/>
        </w:rPr>
        <w:t>;</w:t>
      </w:r>
      <w:r w:rsidR="00EC1992">
        <w:rPr>
          <w:sz w:val="22"/>
          <w:szCs w:val="22"/>
        </w:rPr>
        <w:t xml:space="preserve"> </w:t>
      </w:r>
      <w:r w:rsidR="00EC1992" w:rsidRPr="00EC1992">
        <w:rPr>
          <w:i/>
          <w:color w:val="2E74B5" w:themeColor="accent1" w:themeShade="BF"/>
          <w:sz w:val="22"/>
          <w:szCs w:val="22"/>
        </w:rPr>
        <w:t>(Retificado pela Portaria Presidencial CAU/SP n.º 508/2023)</w:t>
      </w:r>
    </w:p>
    <w:p w14:paraId="4F1CFA9E" w14:textId="3ED66EE3" w:rsidR="00E32FFC" w:rsidRDefault="00A7549C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485DD5">
        <w:rPr>
          <w:sz w:val="22"/>
          <w:szCs w:val="22"/>
        </w:rPr>
        <w:t>Velta Maria Krauklis de Oliveira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485DD5">
        <w:rPr>
          <w:sz w:val="22"/>
          <w:szCs w:val="22"/>
        </w:rPr>
        <w:t>Coordenadora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485DD5">
        <w:rPr>
          <w:sz w:val="22"/>
          <w:szCs w:val="22"/>
        </w:rPr>
        <w:t>Coordenação de Ensino e Formação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 w:rsidRPr="00A7549C">
        <w:rPr>
          <w:sz w:val="22"/>
          <w:szCs w:val="22"/>
        </w:rPr>
        <w:t>230</w:t>
      </w:r>
      <w:r w:rsidR="00E32FFC" w:rsidRPr="00A7549C">
        <w:rPr>
          <w:sz w:val="22"/>
          <w:szCs w:val="22"/>
        </w:rPr>
        <w:t>.</w:t>
      </w:r>
    </w:p>
    <w:p w14:paraId="60F2ECEE" w14:textId="77777777" w:rsidR="00485DD5" w:rsidRPr="00485DD5" w:rsidRDefault="00485DD5" w:rsidP="00485DD5">
      <w:pPr>
        <w:ind w:right="566"/>
        <w:jc w:val="both"/>
        <w:rPr>
          <w:sz w:val="22"/>
          <w:szCs w:val="22"/>
        </w:rPr>
      </w:pPr>
    </w:p>
    <w:p w14:paraId="6DE211DF" w14:textId="33080FF8" w:rsidR="00E32FFC" w:rsidRPr="00A7549C" w:rsidRDefault="00E32FFC" w:rsidP="00A84A85">
      <w:pPr>
        <w:ind w:left="567" w:right="566"/>
        <w:jc w:val="both"/>
        <w:rPr>
          <w:sz w:val="22"/>
          <w:szCs w:val="22"/>
        </w:rPr>
      </w:pPr>
      <w:r w:rsidRPr="00A7549C">
        <w:rPr>
          <w:sz w:val="22"/>
          <w:szCs w:val="22"/>
        </w:rPr>
        <w:t xml:space="preserve">Parágrafo único. Para presidir a Comissão de Monitoramento e Avaliação nomeio neste ato o funcionário </w:t>
      </w:r>
      <w:r w:rsidR="00485DD5" w:rsidRPr="00485DD5">
        <w:rPr>
          <w:sz w:val="22"/>
          <w:szCs w:val="22"/>
        </w:rPr>
        <w:t>Maria Leide Arcanjo Lima Silva</w:t>
      </w:r>
      <w:r w:rsidRPr="00A7549C">
        <w:rPr>
          <w:sz w:val="22"/>
          <w:szCs w:val="22"/>
        </w:rPr>
        <w:t>.</w:t>
      </w:r>
    </w:p>
    <w:p w14:paraId="48BB9900" w14:textId="77777777" w:rsidR="008A7850" w:rsidRDefault="008A7850" w:rsidP="00A84A85">
      <w:pPr>
        <w:ind w:left="567" w:right="566"/>
        <w:jc w:val="both"/>
        <w:rPr>
          <w:color w:val="FF0000"/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6AD268F4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relacionado às parcerias celebradas em decorrência do Chamamento Público nº </w:t>
      </w:r>
      <w:r w:rsidR="00BA51AB">
        <w:rPr>
          <w:sz w:val="22"/>
          <w:szCs w:val="22"/>
        </w:rPr>
        <w:t>00</w:t>
      </w:r>
      <w:r w:rsidR="00394851">
        <w:rPr>
          <w:sz w:val="22"/>
          <w:szCs w:val="22"/>
        </w:rPr>
        <w:t>8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</w:t>
      </w:r>
      <w:r w:rsidR="00394851" w:rsidRPr="001234EF">
        <w:rPr>
          <w:sz w:val="22"/>
          <w:szCs w:val="22"/>
        </w:rPr>
        <w:t xml:space="preserve">Processo </w:t>
      </w:r>
      <w:r w:rsidR="00394851">
        <w:rPr>
          <w:sz w:val="22"/>
          <w:szCs w:val="22"/>
        </w:rPr>
        <w:t xml:space="preserve">SEI nº </w:t>
      </w:r>
      <w:r w:rsidR="00394851" w:rsidRPr="00485DD5">
        <w:rPr>
          <w:sz w:val="22"/>
          <w:szCs w:val="22"/>
        </w:rPr>
        <w:t> </w:t>
      </w:r>
      <w:hyperlink r:id="rId15" w:tgtFrame="_blank" w:history="1">
        <w:r w:rsidR="00394851" w:rsidRPr="00485DD5">
          <w:rPr>
            <w:sz w:val="22"/>
            <w:szCs w:val="22"/>
          </w:rPr>
          <w:t>00179.00000113/2022-88</w:t>
        </w:r>
      </w:hyperlink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251143B7" w14:textId="77777777" w:rsidR="00394851" w:rsidRPr="00A84A85" w:rsidRDefault="00394851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57B68B20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485DD5">
        <w:rPr>
          <w:sz w:val="22"/>
          <w:szCs w:val="22"/>
        </w:rPr>
        <w:t>19</w:t>
      </w:r>
      <w:r w:rsidRPr="00A84A85">
        <w:rPr>
          <w:sz w:val="22"/>
          <w:szCs w:val="22"/>
        </w:rPr>
        <w:t xml:space="preserve"> de </w:t>
      </w:r>
      <w:r w:rsidR="00485DD5">
        <w:rPr>
          <w:sz w:val="22"/>
          <w:szCs w:val="22"/>
        </w:rPr>
        <w:t>abril de 2023.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  <w:bookmarkStart w:id="0" w:name="_GoBack"/>
      <w:bookmarkEnd w:id="0"/>
    </w:p>
    <w:sectPr w:rsidR="00E32FFC" w:rsidRPr="00A84A85" w:rsidSect="00743DD7">
      <w:headerReference w:type="default" r:id="rId16"/>
      <w:footerReference w:type="default" r:id="rId17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E6D0" w14:textId="77777777" w:rsidR="00A173EE" w:rsidRDefault="00A173EE" w:rsidP="008D1B3A">
      <w:r>
        <w:separator/>
      </w:r>
    </w:p>
  </w:endnote>
  <w:endnote w:type="continuationSeparator" w:id="0">
    <w:p w14:paraId="2D2D15DF" w14:textId="77777777" w:rsidR="00A173EE" w:rsidRDefault="00A173E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B240" w14:textId="77777777" w:rsidR="00A173EE" w:rsidRDefault="00A173EE" w:rsidP="008D1B3A">
      <w:r>
        <w:separator/>
      </w:r>
    </w:p>
  </w:footnote>
  <w:footnote w:type="continuationSeparator" w:id="0">
    <w:p w14:paraId="5AE8CB86" w14:textId="77777777" w:rsidR="00A173EE" w:rsidRDefault="00A173E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55AAC8E4"/>
    <w:lvl w:ilvl="0" w:tplc="4BC682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676DB"/>
    <w:rsid w:val="00382FF3"/>
    <w:rsid w:val="00385319"/>
    <w:rsid w:val="0039485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5DD5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06FD5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E76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A009D6"/>
    <w:rsid w:val="00A173EE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1992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4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protocolo_visualizar&amp;id_protocolo=2719&amp;id_procedimento_atual=28055&amp;infra_sistema=100000100&amp;infra_unidade_atual=110001097&amp;infra_hash=7eaf060dee0abc33547dfbc9ee4f362c82c9a25dfd581781f70a86623699b65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i.caubr.gov.br/sei/controlador.php?acao=protocolo_visualizar&amp;id_protocolo=2719&amp;id_procedimento_atual=28055&amp;infra_sistema=100000100&amp;infra_unidade_atual=110001097&amp;infra_hash=7eaf060dee0abc33547dfbc9ee4f362c82c9a25dfd581781f70a86623699b65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i.caubr.gov.br/sei/controlador.php?acao=protocolo_visualizar&amp;id_protocolo=2719&amp;id_procedimento_atual=28055&amp;infra_sistema=100000100&amp;infra_unidade_atual=110001097&amp;infra_hash=7eaf060dee0abc33547dfbc9ee4f362c82c9a25dfd581781f70a86623699b6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47724EC-0944-4E79-8397-E127B5B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15</cp:revision>
  <cp:lastPrinted>2022-01-19T16:53:00Z</cp:lastPrinted>
  <dcterms:created xsi:type="dcterms:W3CDTF">2022-04-26T17:14:00Z</dcterms:created>
  <dcterms:modified xsi:type="dcterms:W3CDTF">2023-04-28T17:43:00Z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