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0F4A" w14:textId="5E58DC49" w:rsidR="00380218" w:rsidRPr="00380218" w:rsidRDefault="00380218" w:rsidP="00380218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2917260"/>
      <w:r w:rsidRPr="00380218">
        <w:rPr>
          <w:b/>
          <w:bCs/>
          <w:sz w:val="22"/>
          <w:szCs w:val="22"/>
        </w:rPr>
        <w:t>PORTARIA PRESIDENCIAL CAU/SP Nº 39</w:t>
      </w:r>
      <w:r w:rsidR="00535E53">
        <w:rPr>
          <w:b/>
          <w:bCs/>
          <w:sz w:val="22"/>
          <w:szCs w:val="22"/>
        </w:rPr>
        <w:t>7</w:t>
      </w:r>
      <w:r w:rsidRPr="00380218">
        <w:rPr>
          <w:b/>
          <w:bCs/>
          <w:sz w:val="22"/>
          <w:szCs w:val="22"/>
        </w:rPr>
        <w:t xml:space="preserve">, DE </w:t>
      </w:r>
      <w:r w:rsidR="00535E53">
        <w:rPr>
          <w:b/>
          <w:bCs/>
          <w:sz w:val="22"/>
          <w:szCs w:val="22"/>
        </w:rPr>
        <w:t>25</w:t>
      </w:r>
      <w:r w:rsidRPr="00380218">
        <w:rPr>
          <w:b/>
          <w:bCs/>
          <w:sz w:val="22"/>
          <w:szCs w:val="22"/>
        </w:rPr>
        <w:t xml:space="preserve"> DE ABRIL DE 2022.</w:t>
      </w:r>
    </w:p>
    <w:p w14:paraId="27C1830B" w14:textId="77777777" w:rsidR="00380218" w:rsidRPr="00380218" w:rsidRDefault="00380218" w:rsidP="00380218">
      <w:pPr>
        <w:ind w:left="567" w:right="566"/>
        <w:jc w:val="both"/>
        <w:rPr>
          <w:b/>
          <w:bCs/>
          <w:sz w:val="22"/>
          <w:szCs w:val="22"/>
        </w:rPr>
      </w:pPr>
    </w:p>
    <w:p w14:paraId="664E344B" w14:textId="75444134" w:rsidR="00380218" w:rsidRPr="00380218" w:rsidRDefault="00380218" w:rsidP="00380218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>Revoga o</w:t>
      </w:r>
      <w:r w:rsidR="00923A47">
        <w:rPr>
          <w:rFonts w:ascii="Times New Roman" w:hAnsi="Times New Roman" w:cs="Times New Roman"/>
          <w:sz w:val="22"/>
          <w:szCs w:val="22"/>
        </w:rPr>
        <w:t>s</w:t>
      </w:r>
      <w:r w:rsidRPr="00380218">
        <w:rPr>
          <w:rFonts w:ascii="Times New Roman" w:hAnsi="Times New Roman" w:cs="Times New Roman"/>
          <w:sz w:val="22"/>
          <w:szCs w:val="22"/>
        </w:rPr>
        <w:t xml:space="preserve"> inciso</w:t>
      </w:r>
      <w:r w:rsidR="00923A47">
        <w:rPr>
          <w:rFonts w:ascii="Times New Roman" w:hAnsi="Times New Roman" w:cs="Times New Roman"/>
          <w:sz w:val="22"/>
          <w:szCs w:val="22"/>
        </w:rPr>
        <w:t>s III e</w:t>
      </w:r>
      <w:bookmarkStart w:id="1" w:name="_GoBack"/>
      <w:bookmarkEnd w:id="1"/>
      <w:r w:rsidRPr="00380218">
        <w:rPr>
          <w:rFonts w:ascii="Times New Roman" w:hAnsi="Times New Roman" w:cs="Times New Roman"/>
          <w:sz w:val="22"/>
          <w:szCs w:val="22"/>
        </w:rPr>
        <w:t xml:space="preserve"> XII, do art. 3º, da Portaria Presidencial CAU/SP n.º 322, de 14 de julho de 2021, que </w:t>
      </w:r>
      <w:bookmarkEnd w:id="0"/>
      <w:r w:rsidRPr="00380218">
        <w:rPr>
          <w:rFonts w:ascii="Times New Roman" w:hAnsi="Times New Roman" w:cs="Times New Roman"/>
          <w:sz w:val="22"/>
          <w:szCs w:val="22"/>
        </w:rPr>
        <w:t xml:space="preserve">institui o Grupo de Trabalho GT-Gestão Documental; revoga o art. 2º, da Portaria Presidencial CAU/SP n.º 369, de 13 de dezembro de 2021 e altera o art. 4º e parágrafo único, da Portaria Presidencial CAU/SP n.º 184, de 22 de janeiro de 2020. </w:t>
      </w:r>
    </w:p>
    <w:p w14:paraId="613914DC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2EF93989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 xml:space="preserve">A Presidente do Conselho de Arquitetura e Urbanismo de São Paulo (CAU/SP), no exercício das atribuições que lhe conferem o art. 35, inciso III, da Lei n° 12.378, de 31 de dezembro de 2010 e com fundamento nas disposições contidas nos </w:t>
      </w:r>
      <w:proofErr w:type="spellStart"/>
      <w:r w:rsidRPr="00380218">
        <w:rPr>
          <w:sz w:val="22"/>
          <w:szCs w:val="22"/>
        </w:rPr>
        <w:t>arts</w:t>
      </w:r>
      <w:proofErr w:type="spellEnd"/>
      <w:r w:rsidRPr="00380218">
        <w:rPr>
          <w:sz w:val="22"/>
          <w:szCs w:val="22"/>
        </w:rPr>
        <w:t>. 10 e 155, inciso XXXIX, ambos do Regimento Interno do CAU/SP, e ainda,</w:t>
      </w:r>
    </w:p>
    <w:p w14:paraId="2A2118C8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52C08C98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>Considerando a Portaria Presidencial CAU/SP nº 322, de 14 de julho de 2021, que Institui o Grupo de Trabalho GT-Gestão Documental, atender às exigências estabelecidas nos atos normativos que tratam da gestão documental, bem como para a implantação do módulo ECM do SGI, nomeia seus membros e dá outras providências;</w:t>
      </w:r>
    </w:p>
    <w:p w14:paraId="3FDE7830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54B5A287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>Considerando a Portaria Presidencial CAU/SP nº 336, de 20 de agosto de 2021, que revoga o inciso III e altera o inciso XVI, do art. 3º da Portaria Presidencial CAU/SP n.º 322, de 14 de julho de 2021;</w:t>
      </w:r>
    </w:p>
    <w:p w14:paraId="5728EDC2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583607B6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0218">
        <w:rPr>
          <w:rFonts w:ascii="Times New Roman" w:hAnsi="Times New Roman" w:cs="Times New Roman"/>
          <w:color w:val="auto"/>
          <w:sz w:val="22"/>
          <w:szCs w:val="22"/>
        </w:rPr>
        <w:t>Considerando a Portaria Presidencial CAU/SP nº 355, de 22 de outubro de 2021, que revoga o inciso X, do art. 3º da Portaria Presidencial CAU/SP n.º 322, de 14 de julho de 2021;</w:t>
      </w:r>
    </w:p>
    <w:p w14:paraId="2BD2C1F6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F67C2F9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>Considerando a Portaria Presidencial CAU/SP nº 366, de 06 de dezembro de 2021, que inclui o inciso XVII, ao art. 3º da Portaria Presidencial CAU/SP n.º 322, de 14 de julho de 2021;</w:t>
      </w:r>
    </w:p>
    <w:p w14:paraId="5AAFA4AB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F4D28A3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>Considerando a Portaria Presidencial CAU/SP nº 369, de 13 de dezembro de 2021, que reconduz a Comissão Interna de Patrimônio do Conselho de Arquitetura e Urbanismo de São Paulo (CAU/SP), recomposta pela Portaria Presidencial CAU/SP n.º 184, de 22 de janeiro de 2020;</w:t>
      </w:r>
    </w:p>
    <w:p w14:paraId="6E1CB9FF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5F186219" w14:textId="1C4A8A1C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>Considerando a Portaria Presidencial CAU/SP nº 184, de 22 de janeiro de 2020, que recompõe a Comissão Interna de Patrimônio do Conselho de Arquitetura e Urbanismo de São Paulo (CAU/SP), instituído pela Portaria Presidencial CAU/SP n.º 61, de 14 de agosto de 2018, alterada pela Portaria Presidencial CAU/SP n.º 102, de 20 de fevereiro de 2019 e pela Portaria Presidencial CAU/SP n.º 108, de 26 de março de 2019</w:t>
      </w:r>
      <w:r w:rsidR="00BC36BB">
        <w:rPr>
          <w:rFonts w:ascii="Times New Roman" w:hAnsi="Times New Roman" w:cs="Times New Roman"/>
          <w:sz w:val="22"/>
          <w:szCs w:val="22"/>
        </w:rPr>
        <w:t>; e</w:t>
      </w:r>
    </w:p>
    <w:p w14:paraId="457839AA" w14:textId="77777777" w:rsidR="00380218" w:rsidRPr="00380218" w:rsidRDefault="00380218" w:rsidP="00380218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30490DC5" w14:textId="612F03D8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 xml:space="preserve">Considerando </w:t>
      </w:r>
      <w:r w:rsidR="00BC36BB">
        <w:rPr>
          <w:sz w:val="22"/>
          <w:szCs w:val="22"/>
        </w:rPr>
        <w:t>a solicitação constante do</w:t>
      </w:r>
      <w:r w:rsidRPr="00380218">
        <w:rPr>
          <w:sz w:val="22"/>
          <w:szCs w:val="22"/>
        </w:rPr>
        <w:t xml:space="preserve"> Mem</w:t>
      </w:r>
      <w:r w:rsidRPr="00BC36BB">
        <w:rPr>
          <w:sz w:val="22"/>
          <w:szCs w:val="22"/>
        </w:rPr>
        <w:t xml:space="preserve">orando CAU/SP-RH nº </w:t>
      </w:r>
      <w:r w:rsidR="00BC36BB" w:rsidRPr="00BC36BB">
        <w:rPr>
          <w:sz w:val="22"/>
          <w:szCs w:val="22"/>
        </w:rPr>
        <w:t>054</w:t>
      </w:r>
      <w:r w:rsidRPr="00BC36BB">
        <w:rPr>
          <w:sz w:val="22"/>
          <w:szCs w:val="22"/>
        </w:rPr>
        <w:t>/202</w:t>
      </w:r>
      <w:r w:rsidR="00BC36BB" w:rsidRPr="00BC36BB">
        <w:rPr>
          <w:sz w:val="22"/>
          <w:szCs w:val="22"/>
        </w:rPr>
        <w:t>2</w:t>
      </w:r>
      <w:r w:rsidRPr="00BC36BB">
        <w:rPr>
          <w:sz w:val="22"/>
          <w:szCs w:val="22"/>
        </w:rPr>
        <w:t xml:space="preserve">, </w:t>
      </w:r>
      <w:r w:rsidR="00BC36BB" w:rsidRPr="00BC36BB">
        <w:rPr>
          <w:sz w:val="22"/>
          <w:szCs w:val="22"/>
        </w:rPr>
        <w:t xml:space="preserve">nos autos do </w:t>
      </w:r>
      <w:r w:rsidRPr="00BC36BB">
        <w:rPr>
          <w:sz w:val="22"/>
          <w:szCs w:val="22"/>
        </w:rPr>
        <w:t>Processo de Gestão de Pessoas nº 082/2021</w:t>
      </w:r>
      <w:r w:rsidR="00BC36BB" w:rsidRPr="00BC36BB">
        <w:rPr>
          <w:sz w:val="22"/>
          <w:szCs w:val="22"/>
        </w:rPr>
        <w:t xml:space="preserve"> e 003/2020</w:t>
      </w:r>
      <w:r w:rsidRPr="00BC36BB">
        <w:rPr>
          <w:sz w:val="22"/>
          <w:szCs w:val="22"/>
        </w:rPr>
        <w:t>.</w:t>
      </w:r>
    </w:p>
    <w:p w14:paraId="7DA1FE54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4AA6CC75" w14:textId="77777777" w:rsidR="00380218" w:rsidRPr="00380218" w:rsidRDefault="00380218" w:rsidP="00380218">
      <w:pPr>
        <w:ind w:left="567" w:right="566"/>
        <w:rPr>
          <w:b/>
          <w:sz w:val="22"/>
          <w:szCs w:val="22"/>
          <w:lang w:eastAsia="en-US"/>
        </w:rPr>
      </w:pPr>
      <w:r w:rsidRPr="00380218">
        <w:rPr>
          <w:b/>
          <w:sz w:val="22"/>
          <w:szCs w:val="22"/>
        </w:rPr>
        <w:t>RESOLVE:</w:t>
      </w:r>
    </w:p>
    <w:p w14:paraId="7BFE8CBA" w14:textId="77777777" w:rsidR="00380218" w:rsidRPr="00380218" w:rsidRDefault="00380218" w:rsidP="00380218">
      <w:pPr>
        <w:ind w:left="567" w:right="566"/>
        <w:rPr>
          <w:sz w:val="22"/>
          <w:szCs w:val="22"/>
        </w:rPr>
      </w:pPr>
    </w:p>
    <w:p w14:paraId="6F69AECF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>Art. 1º Revogar o inciso XII, do art. 3º da Portaria Presidencial CAU/SP n.º 322, de 14 de julho de 2021, passando a constar:</w:t>
      </w:r>
    </w:p>
    <w:p w14:paraId="44642320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50A45A11" w14:textId="77777777" w:rsidR="00380218" w:rsidRPr="00380218" w:rsidRDefault="00380218" w:rsidP="00BC36BB">
      <w:pPr>
        <w:ind w:left="851" w:right="566"/>
        <w:jc w:val="both"/>
        <w:rPr>
          <w:i/>
          <w:sz w:val="22"/>
          <w:szCs w:val="22"/>
        </w:rPr>
      </w:pPr>
      <w:r w:rsidRPr="00380218">
        <w:rPr>
          <w:i/>
          <w:sz w:val="22"/>
          <w:szCs w:val="22"/>
        </w:rPr>
        <w:t>Art. 3º (...)</w:t>
      </w:r>
    </w:p>
    <w:p w14:paraId="4C20170A" w14:textId="63F7C8B1" w:rsidR="00380218" w:rsidRDefault="00380218" w:rsidP="00BC36BB">
      <w:pPr>
        <w:ind w:left="851" w:right="566"/>
        <w:jc w:val="both"/>
        <w:rPr>
          <w:i/>
          <w:sz w:val="22"/>
          <w:szCs w:val="22"/>
        </w:rPr>
      </w:pPr>
    </w:p>
    <w:p w14:paraId="77B11DC5" w14:textId="198AC427" w:rsidR="00F43064" w:rsidRPr="00F43064" w:rsidRDefault="00F43064" w:rsidP="00F43064">
      <w:pPr>
        <w:ind w:left="851" w:right="-568"/>
        <w:jc w:val="both"/>
        <w:rPr>
          <w:i/>
          <w:strike/>
          <w:sz w:val="22"/>
          <w:szCs w:val="22"/>
        </w:rPr>
      </w:pPr>
      <w:r w:rsidRPr="00F43064">
        <w:rPr>
          <w:i/>
          <w:strike/>
          <w:sz w:val="22"/>
          <w:szCs w:val="22"/>
        </w:rPr>
        <w:t>III. Epaminondas Alves Pereira Neto, Analista I – Coordenação de Comunicação, Matrícula 167;</w:t>
      </w:r>
    </w:p>
    <w:p w14:paraId="33DB1B3F" w14:textId="23ECA105" w:rsidR="00F43064" w:rsidRPr="00380218" w:rsidRDefault="00F43064" w:rsidP="00BC36BB">
      <w:pPr>
        <w:ind w:left="851" w:right="56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(...)</w:t>
      </w:r>
    </w:p>
    <w:p w14:paraId="0620C4CF" w14:textId="77777777" w:rsidR="00380218" w:rsidRPr="00380218" w:rsidRDefault="00380218" w:rsidP="00BC36BB">
      <w:pPr>
        <w:ind w:left="851" w:right="566"/>
        <w:jc w:val="both"/>
        <w:rPr>
          <w:i/>
          <w:sz w:val="22"/>
          <w:szCs w:val="22"/>
        </w:rPr>
      </w:pPr>
      <w:r w:rsidRPr="00380218">
        <w:rPr>
          <w:i/>
          <w:strike/>
          <w:sz w:val="22"/>
          <w:szCs w:val="22"/>
        </w:rPr>
        <w:t>XII. Marcia Santana Carvalho, Assistente – Coordenação de Contratos, Convênios e Parcerias, Matrícula 281;</w:t>
      </w:r>
    </w:p>
    <w:p w14:paraId="322AFB70" w14:textId="77777777" w:rsidR="00380218" w:rsidRPr="00380218" w:rsidRDefault="00380218" w:rsidP="00380218">
      <w:pPr>
        <w:ind w:left="567" w:right="566"/>
        <w:jc w:val="both"/>
        <w:rPr>
          <w:i/>
          <w:sz w:val="22"/>
          <w:szCs w:val="22"/>
        </w:rPr>
      </w:pPr>
    </w:p>
    <w:p w14:paraId="35FCC10B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lastRenderedPageBreak/>
        <w:t>Art. 2º Revogar o art. 2º, da Portaria Presidencial CAU/SP n.º 369, de 13 de dezembro de 2021, passando a constar:</w:t>
      </w:r>
    </w:p>
    <w:p w14:paraId="3C86962B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123BBAED" w14:textId="77777777" w:rsidR="00380218" w:rsidRPr="00380218" w:rsidRDefault="00380218" w:rsidP="00BC36BB">
      <w:pPr>
        <w:spacing w:line="23" w:lineRule="atLeast"/>
        <w:ind w:left="851" w:right="566"/>
        <w:jc w:val="both"/>
        <w:rPr>
          <w:i/>
          <w:strike/>
          <w:sz w:val="22"/>
          <w:szCs w:val="22"/>
        </w:rPr>
      </w:pPr>
      <w:r w:rsidRPr="00380218">
        <w:rPr>
          <w:i/>
          <w:strike/>
          <w:sz w:val="22"/>
          <w:szCs w:val="22"/>
        </w:rPr>
        <w:t>Art. 2º Alterar o art. 4º, caput, da Portaria Presidencial CAU/SP n.º 184, de 22 de janeiro de 2020, para constar:</w:t>
      </w:r>
    </w:p>
    <w:p w14:paraId="187EDEA2" w14:textId="77777777" w:rsidR="00380218" w:rsidRPr="00380218" w:rsidRDefault="00380218" w:rsidP="00BC36BB">
      <w:pPr>
        <w:pStyle w:val="NormalWeb"/>
        <w:shd w:val="clear" w:color="auto" w:fill="FFFFFF"/>
        <w:spacing w:before="0" w:beforeAutospacing="0" w:after="0" w:afterAutospacing="0"/>
        <w:ind w:left="851" w:right="566"/>
        <w:jc w:val="both"/>
        <w:rPr>
          <w:i/>
          <w:strike/>
          <w:color w:val="5B9BD5" w:themeColor="accent1"/>
          <w:sz w:val="22"/>
          <w:szCs w:val="22"/>
        </w:rPr>
      </w:pPr>
      <w:bookmarkStart w:id="2" w:name="_Hlk90301534"/>
      <w:r w:rsidRPr="00380218">
        <w:rPr>
          <w:i/>
          <w:strike/>
          <w:sz w:val="22"/>
          <w:szCs w:val="22"/>
        </w:rPr>
        <w:t xml:space="preserve">Art. 4º Nomear, para composição da </w:t>
      </w:r>
      <w:bookmarkStart w:id="3" w:name="_Hlk90301630"/>
      <w:r w:rsidRPr="00380218">
        <w:rPr>
          <w:i/>
          <w:strike/>
          <w:sz w:val="22"/>
          <w:szCs w:val="22"/>
        </w:rPr>
        <w:t xml:space="preserve">Comissão Interna de Patrimônio do CAU/SP </w:t>
      </w:r>
      <w:bookmarkEnd w:id="3"/>
      <w:r w:rsidRPr="00380218">
        <w:rPr>
          <w:i/>
          <w:strike/>
          <w:sz w:val="22"/>
          <w:szCs w:val="22"/>
        </w:rPr>
        <w:t xml:space="preserve">instituída por esta Portaria, os seguintes empregados: Franco Cardoso Andrade – matrícula 280 – Assistente; Luan Kendji Yamauie – matrícula 254 – Assistente; Márcia Santana Carvalho Conceição – matrícula 281 – Assistente; e Romário Wong – matrícula 318 – Supervisor. </w:t>
      </w:r>
    </w:p>
    <w:bookmarkEnd w:id="2"/>
    <w:p w14:paraId="562F99BC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7B299391" w14:textId="77777777" w:rsidR="00380218" w:rsidRPr="00380218" w:rsidRDefault="00380218" w:rsidP="00380218">
      <w:pPr>
        <w:ind w:left="567" w:right="566"/>
        <w:jc w:val="both"/>
        <w:rPr>
          <w:vanish/>
          <w:sz w:val="22"/>
          <w:szCs w:val="22"/>
          <w:specVanish/>
        </w:rPr>
      </w:pPr>
      <w:r w:rsidRPr="00380218">
        <w:rPr>
          <w:sz w:val="22"/>
          <w:szCs w:val="22"/>
        </w:rPr>
        <w:t>Art. 3º Alterar o art. 4º da Portaria Presidencial CAU/SP n.</w:t>
      </w:r>
    </w:p>
    <w:p w14:paraId="050F0C74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>º 184, de 22 de janeiro de 2020, passando a constar:</w:t>
      </w:r>
    </w:p>
    <w:p w14:paraId="2D5D6B79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73F0D6AC" w14:textId="32A217CE" w:rsidR="00380218" w:rsidRPr="00380218" w:rsidRDefault="00380218" w:rsidP="00BC36BB">
      <w:pPr>
        <w:pStyle w:val="NormalWeb"/>
        <w:shd w:val="clear" w:color="auto" w:fill="FFFFFF"/>
        <w:spacing w:before="0" w:beforeAutospacing="0" w:after="0" w:afterAutospacing="0"/>
        <w:ind w:left="851" w:right="566"/>
        <w:jc w:val="both"/>
        <w:rPr>
          <w:i/>
          <w:color w:val="0070C0"/>
          <w:sz w:val="22"/>
          <w:szCs w:val="22"/>
        </w:rPr>
      </w:pPr>
      <w:bookmarkStart w:id="4" w:name="_Hlk101713831"/>
      <w:r w:rsidRPr="00380218">
        <w:rPr>
          <w:i/>
          <w:sz w:val="22"/>
          <w:szCs w:val="22"/>
        </w:rPr>
        <w:t xml:space="preserve">Art. 4º Nomear, para composição da Comissão Interna de Patrimônio do CAU/SP instituída por esta Portaria, os seguintes empregados: Franco Cardoso Andrade – matrícula 280 – Assistente; Luan Kendji Yamauie – matrícula 254 – Assistente; </w:t>
      </w:r>
      <w:r w:rsidR="00791FB3">
        <w:rPr>
          <w:i/>
          <w:sz w:val="22"/>
          <w:szCs w:val="22"/>
        </w:rPr>
        <w:t xml:space="preserve">Mariana Oliveira Marques – matrícula 181 – Assistente; </w:t>
      </w:r>
      <w:r w:rsidRPr="00380218">
        <w:rPr>
          <w:i/>
          <w:sz w:val="22"/>
          <w:szCs w:val="22"/>
        </w:rPr>
        <w:t>e Romário Wong – matrícula 318 – Supervisor.</w:t>
      </w:r>
    </w:p>
    <w:p w14:paraId="79687CE4" w14:textId="77777777" w:rsidR="00380218" w:rsidRPr="00380218" w:rsidRDefault="00380218" w:rsidP="00BC36BB">
      <w:pPr>
        <w:ind w:left="851" w:right="566"/>
        <w:contextualSpacing/>
        <w:jc w:val="both"/>
        <w:rPr>
          <w:i/>
          <w:sz w:val="22"/>
          <w:szCs w:val="22"/>
        </w:rPr>
      </w:pPr>
    </w:p>
    <w:p w14:paraId="388C3323" w14:textId="31E01563" w:rsidR="00380218" w:rsidRPr="00380218" w:rsidRDefault="00380218" w:rsidP="00BC36BB">
      <w:pPr>
        <w:ind w:left="851" w:right="566"/>
        <w:contextualSpacing/>
        <w:jc w:val="both"/>
        <w:rPr>
          <w:i/>
          <w:color w:val="000000"/>
          <w:sz w:val="22"/>
          <w:szCs w:val="22"/>
        </w:rPr>
      </w:pPr>
      <w:r w:rsidRPr="00380218">
        <w:rPr>
          <w:i/>
          <w:sz w:val="22"/>
          <w:szCs w:val="22"/>
        </w:rPr>
        <w:t xml:space="preserve">Parágrafo único. Para as funções de Presidente da Comissão Interna de Patrimônio do CAU/SP fica designada a funcionária </w:t>
      </w:r>
      <w:r w:rsidR="00791FB3" w:rsidRPr="00791FB3">
        <w:rPr>
          <w:i/>
          <w:sz w:val="22"/>
          <w:szCs w:val="22"/>
        </w:rPr>
        <w:t>Mariana Oliveira Marques</w:t>
      </w:r>
      <w:r w:rsidRPr="00380218">
        <w:rPr>
          <w:i/>
          <w:sz w:val="22"/>
          <w:szCs w:val="22"/>
        </w:rPr>
        <w:t>.</w:t>
      </w:r>
    </w:p>
    <w:bookmarkEnd w:id="4"/>
    <w:p w14:paraId="75928660" w14:textId="77777777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</w:p>
    <w:p w14:paraId="113A07B7" w14:textId="0624C43E" w:rsidR="00380218" w:rsidRPr="00380218" w:rsidRDefault="00380218" w:rsidP="00380218">
      <w:pPr>
        <w:ind w:left="567" w:right="566"/>
        <w:jc w:val="both"/>
        <w:rPr>
          <w:sz w:val="22"/>
          <w:szCs w:val="22"/>
        </w:rPr>
      </w:pPr>
      <w:r w:rsidRPr="00380218">
        <w:rPr>
          <w:sz w:val="22"/>
          <w:szCs w:val="22"/>
        </w:rPr>
        <w:t xml:space="preserve">Art. 4º Permanecem inalteradas as demais disposições constantes das Portarias Presidenciais CAU/SP n.º 322, de 14 de julho de 2021, </w:t>
      </w:r>
      <w:r w:rsidR="009F062F" w:rsidRPr="00380218">
        <w:rPr>
          <w:sz w:val="22"/>
          <w:szCs w:val="22"/>
        </w:rPr>
        <w:t>nº 336, de 20 de agosto de 2021</w:t>
      </w:r>
      <w:r w:rsidR="009F062F">
        <w:rPr>
          <w:sz w:val="22"/>
          <w:szCs w:val="22"/>
        </w:rPr>
        <w:t xml:space="preserve">, </w:t>
      </w:r>
      <w:r w:rsidR="009F062F" w:rsidRPr="00380218">
        <w:rPr>
          <w:sz w:val="22"/>
          <w:szCs w:val="22"/>
        </w:rPr>
        <w:t>nº 355, de 22 de outubro de 2021</w:t>
      </w:r>
      <w:r w:rsidR="009F062F">
        <w:rPr>
          <w:sz w:val="22"/>
          <w:szCs w:val="22"/>
        </w:rPr>
        <w:t xml:space="preserve">, </w:t>
      </w:r>
      <w:r w:rsidR="009F062F" w:rsidRPr="00380218">
        <w:rPr>
          <w:sz w:val="22"/>
          <w:szCs w:val="22"/>
        </w:rPr>
        <w:t>nº 366, de 06 de dezembro de 2021</w:t>
      </w:r>
      <w:r w:rsidR="009F062F">
        <w:rPr>
          <w:sz w:val="22"/>
          <w:szCs w:val="22"/>
        </w:rPr>
        <w:t xml:space="preserve">, </w:t>
      </w:r>
      <w:r w:rsidRPr="00380218">
        <w:rPr>
          <w:sz w:val="22"/>
          <w:szCs w:val="22"/>
        </w:rPr>
        <w:t>n.º 184, de 22 de janeiro de 2020 e n.º 369, de 13 de dezembro de 2021.</w:t>
      </w:r>
    </w:p>
    <w:p w14:paraId="7A46AE40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0497C4FD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>Art. 3º. Esta Portaria entra em vigor na data de sua publicação.</w:t>
      </w:r>
    </w:p>
    <w:p w14:paraId="4D6CDB93" w14:textId="77777777" w:rsidR="00380218" w:rsidRPr="00380218" w:rsidRDefault="00380218" w:rsidP="00380218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30830C" w14:textId="35EC42B7" w:rsidR="00380218" w:rsidRPr="00380218" w:rsidRDefault="00380218" w:rsidP="00380218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380218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C36BB">
        <w:rPr>
          <w:rFonts w:ascii="Times New Roman" w:hAnsi="Times New Roman" w:cs="Times New Roman"/>
          <w:sz w:val="22"/>
          <w:szCs w:val="22"/>
        </w:rPr>
        <w:t>25</w:t>
      </w:r>
      <w:r w:rsidRPr="00380218">
        <w:rPr>
          <w:rFonts w:ascii="Times New Roman" w:hAnsi="Times New Roman" w:cs="Times New Roman"/>
          <w:sz w:val="22"/>
          <w:szCs w:val="22"/>
        </w:rPr>
        <w:t xml:space="preserve"> de abril de 2022.</w:t>
      </w:r>
    </w:p>
    <w:p w14:paraId="34204BBC" w14:textId="77777777" w:rsidR="00380218" w:rsidRPr="00380218" w:rsidRDefault="00380218" w:rsidP="00380218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606461C" w14:textId="4B8924D0" w:rsidR="00380218" w:rsidRDefault="00380218" w:rsidP="00380218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6756126E" w14:textId="77777777" w:rsidR="009F062F" w:rsidRDefault="009F062F" w:rsidP="00380218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F7C0CEE" w14:textId="77777777" w:rsidR="00380218" w:rsidRPr="00380218" w:rsidRDefault="00380218" w:rsidP="00BC36BB">
      <w:pPr>
        <w:ind w:left="567" w:right="566"/>
        <w:jc w:val="center"/>
        <w:rPr>
          <w:b/>
          <w:sz w:val="22"/>
          <w:szCs w:val="22"/>
        </w:rPr>
      </w:pPr>
      <w:r w:rsidRPr="00380218">
        <w:rPr>
          <w:b/>
          <w:sz w:val="22"/>
          <w:szCs w:val="22"/>
        </w:rPr>
        <w:t>Catherine Otondo</w:t>
      </w:r>
    </w:p>
    <w:p w14:paraId="3508FFEC" w14:textId="73AEC317" w:rsidR="00380218" w:rsidRPr="00380218" w:rsidRDefault="00380218" w:rsidP="00BC36BB">
      <w:pPr>
        <w:tabs>
          <w:tab w:val="center" w:pos="4752"/>
          <w:tab w:val="left" w:pos="7395"/>
        </w:tabs>
        <w:ind w:left="567" w:right="566"/>
        <w:jc w:val="center"/>
        <w:rPr>
          <w:sz w:val="22"/>
          <w:szCs w:val="22"/>
        </w:rPr>
      </w:pPr>
      <w:r w:rsidRPr="00380218">
        <w:rPr>
          <w:sz w:val="22"/>
          <w:szCs w:val="22"/>
        </w:rPr>
        <w:t>Presidente do CAU/SP</w:t>
      </w:r>
    </w:p>
    <w:p w14:paraId="354EC512" w14:textId="77777777" w:rsidR="00380218" w:rsidRPr="00380218" w:rsidRDefault="00380218" w:rsidP="00380218">
      <w:pPr>
        <w:tabs>
          <w:tab w:val="left" w:pos="7422"/>
        </w:tabs>
        <w:ind w:left="567" w:right="566"/>
        <w:rPr>
          <w:sz w:val="22"/>
          <w:szCs w:val="22"/>
        </w:rPr>
      </w:pPr>
    </w:p>
    <w:p w14:paraId="54E0B8B6" w14:textId="77777777" w:rsidR="005C4E0B" w:rsidRPr="00380218" w:rsidRDefault="005C4E0B" w:rsidP="00380218">
      <w:pPr>
        <w:ind w:left="567" w:right="566"/>
        <w:rPr>
          <w:sz w:val="22"/>
          <w:szCs w:val="22"/>
        </w:rPr>
      </w:pPr>
    </w:p>
    <w:sectPr w:rsidR="005C4E0B" w:rsidRPr="0038021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6A7B" w14:textId="77777777" w:rsidR="00921787" w:rsidRDefault="00921787" w:rsidP="008D1B3A">
      <w:r>
        <w:separator/>
      </w:r>
    </w:p>
  </w:endnote>
  <w:endnote w:type="continuationSeparator" w:id="0">
    <w:p w14:paraId="2B22E1D0" w14:textId="77777777" w:rsidR="00921787" w:rsidRDefault="00921787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1F73" w14:textId="77777777" w:rsidR="00921787" w:rsidRDefault="00921787" w:rsidP="008D1B3A">
      <w:r>
        <w:separator/>
      </w:r>
    </w:p>
  </w:footnote>
  <w:footnote w:type="continuationSeparator" w:id="0">
    <w:p w14:paraId="1744F47D" w14:textId="77777777" w:rsidR="00921787" w:rsidRDefault="00921787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0218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35E53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91FB3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1787"/>
    <w:rsid w:val="00922081"/>
    <w:rsid w:val="00923A47"/>
    <w:rsid w:val="00924413"/>
    <w:rsid w:val="009263D6"/>
    <w:rsid w:val="00946211"/>
    <w:rsid w:val="009523E1"/>
    <w:rsid w:val="00953044"/>
    <w:rsid w:val="00963183"/>
    <w:rsid w:val="0096361E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62F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C36BB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43064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uiPriority w:val="99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0F107-7962-49A5-BACE-0B54490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7</cp:revision>
  <cp:lastPrinted>2022-01-19T16:53:00Z</cp:lastPrinted>
  <dcterms:created xsi:type="dcterms:W3CDTF">2022-04-24T20:21:00Z</dcterms:created>
  <dcterms:modified xsi:type="dcterms:W3CDTF">2022-04-24T21:08:00Z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