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CD4657">
        <w:rPr>
          <w:b/>
          <w:sz w:val="22"/>
          <w:szCs w:val="22"/>
        </w:rPr>
        <w:t>1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CD4657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60650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01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CD4657">
        <w:rPr>
          <w:sz w:val="22"/>
          <w:szCs w:val="22"/>
        </w:rPr>
        <w:t>01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CD4657" w:rsidRPr="00CD4657">
        <w:rPr>
          <w:sz w:val="22"/>
          <w:szCs w:val="22"/>
        </w:rPr>
        <w:t>00179.005847/2024-24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7D69DF" w:rsidRDefault="007D69DF" w:rsidP="007D69DF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GUSTAVO TEIXEIRA DE MIRANDA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 – Aplicação: Escritório Descentralizado de Santos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452;</w:t>
      </w:r>
    </w:p>
    <w:p w:rsidR="007D69DF" w:rsidRDefault="007D69DF" w:rsidP="007D69DF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ANDRE LUIZ SIQUEIRA DE OLIVEIRA, Coordenador – Aplicação: Escritório Descentralizado de Sorocaba, matrícula nº 451;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7D69DF">
        <w:rPr>
          <w:sz w:val="22"/>
          <w:szCs w:val="22"/>
          <w:lang w:eastAsia="pt-BR"/>
        </w:rPr>
        <w:t>O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7D69DF">
        <w:rPr>
          <w:sz w:val="22"/>
          <w:szCs w:val="22"/>
          <w:lang w:eastAsia="pt-BR"/>
        </w:rPr>
        <w:t>O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220E2D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bookmarkStart w:id="1" w:name="_GoBack"/>
      <w:bookmarkEnd w:id="1"/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B4" w:rsidRDefault="000D1DB4">
      <w:r>
        <w:separator/>
      </w:r>
    </w:p>
  </w:endnote>
  <w:endnote w:type="continuationSeparator" w:id="0">
    <w:p w:rsidR="000D1DB4" w:rsidRDefault="000D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B4" w:rsidRDefault="000D1DB4">
      <w:r>
        <w:separator/>
      </w:r>
    </w:p>
  </w:footnote>
  <w:footnote w:type="continuationSeparator" w:id="0">
    <w:p w:rsidR="000D1DB4" w:rsidRDefault="000D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1D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F0695-A77C-449E-9BC6-2F74451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2024-12-13T15:12:00Z</dcterms:created>
  <dcterms:modified xsi:type="dcterms:W3CDTF">2024-12-13T15:17:00Z</dcterms:modified>
</cp:coreProperties>
</file>