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</w:t>
      </w:r>
      <w:r w:rsidR="00D52FD9">
        <w:rPr>
          <w:b/>
          <w:bCs/>
          <w:sz w:val="22"/>
          <w:szCs w:val="22"/>
        </w:rPr>
        <w:t>4</w:t>
      </w:r>
      <w:r w:rsidRPr="000A18AF">
        <w:rPr>
          <w:b/>
          <w:bCs/>
          <w:sz w:val="22"/>
          <w:szCs w:val="22"/>
        </w:rPr>
        <w:t xml:space="preserve">, DE </w:t>
      </w:r>
      <w:r w:rsidR="001F6046">
        <w:rPr>
          <w:b/>
          <w:bCs/>
          <w:sz w:val="22"/>
          <w:szCs w:val="22"/>
        </w:rPr>
        <w:t>01 DE AGOSTO DE</w:t>
      </w:r>
      <w:r w:rsidRPr="000A18AF">
        <w:rPr>
          <w:b/>
          <w:bCs/>
          <w:sz w:val="22"/>
          <w:szCs w:val="22"/>
        </w:rPr>
        <w:t xml:space="preserve"> 201</w:t>
      </w:r>
      <w:r w:rsidR="002943F6">
        <w:rPr>
          <w:b/>
          <w:bCs/>
          <w:sz w:val="22"/>
          <w:szCs w:val="22"/>
        </w:rPr>
        <w:t>7</w:t>
      </w:r>
      <w:r w:rsidR="001F6046">
        <w:rPr>
          <w:b/>
          <w:bCs/>
          <w:sz w:val="22"/>
          <w:szCs w:val="22"/>
        </w:rPr>
        <w:t>.</w:t>
      </w:r>
    </w:p>
    <w:p w:rsidR="00BE60E1" w:rsidRPr="00BE60E1" w:rsidRDefault="00BE60E1" w:rsidP="005D5284">
      <w:pPr>
        <w:ind w:right="-7"/>
        <w:jc w:val="center"/>
        <w:rPr>
          <w:b/>
          <w:bCs/>
          <w:i/>
          <w:color w:val="0070C0"/>
          <w:sz w:val="22"/>
          <w:szCs w:val="22"/>
        </w:rPr>
      </w:pPr>
      <w:r w:rsidRPr="00BE60E1">
        <w:rPr>
          <w:b/>
          <w:bCs/>
          <w:i/>
          <w:color w:val="0070C0"/>
          <w:sz w:val="22"/>
          <w:szCs w:val="22"/>
        </w:rPr>
        <w:t>(Revogada pela Portaria Normativa CAU/SP nº 214/2024)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BE60E1" w:rsidRDefault="00D52FD9" w:rsidP="000A18AF">
      <w:pPr>
        <w:pStyle w:val="Default"/>
        <w:ind w:left="482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E60E1">
        <w:rPr>
          <w:rFonts w:ascii="Times New Roman" w:hAnsi="Times New Roman" w:cs="Times New Roman"/>
          <w:strike/>
          <w:sz w:val="22"/>
          <w:szCs w:val="22"/>
        </w:rPr>
        <w:t>Altera a Portaria CAU/SP nº 031, de 28 de abril de 2014 que disciplina o ressarcimento de despesas para agentes de fiscalização e subgerentes regionais do CAU/SP no exercício de atividades típicas/ próprias de suas funções</w:t>
      </w:r>
      <w:r w:rsidR="008D109E" w:rsidRPr="00BE60E1">
        <w:rPr>
          <w:rFonts w:ascii="Times New Roman" w:hAnsi="Times New Roman" w:cs="Times New Roman"/>
          <w:strike/>
          <w:sz w:val="22"/>
          <w:szCs w:val="22"/>
        </w:rPr>
        <w:t>.</w:t>
      </w:r>
    </w:p>
    <w:p w:rsidR="00CC6A72" w:rsidRPr="00BE60E1" w:rsidRDefault="00CC6A72" w:rsidP="000A18AF">
      <w:pPr>
        <w:pStyle w:val="Default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D8068B" w:rsidRPr="00BE60E1" w:rsidRDefault="00D8068B" w:rsidP="000A18AF">
      <w:pPr>
        <w:pStyle w:val="Default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8D109E" w:rsidRPr="00BE60E1" w:rsidRDefault="000A18AF" w:rsidP="000A18AF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 xml:space="preserve">O Presidente do Conselho de Arquitetura e Urbanismo de São Paulo (CAU/SP), no exercício das atribuições que lhe </w:t>
      </w:r>
      <w:r w:rsidR="00D52FD9" w:rsidRPr="00BE60E1">
        <w:rPr>
          <w:strike/>
          <w:sz w:val="22"/>
          <w:szCs w:val="22"/>
        </w:rPr>
        <w:t xml:space="preserve">conferem o art. 35, </w:t>
      </w:r>
      <w:r w:rsidRPr="00BE60E1">
        <w:rPr>
          <w:strike/>
          <w:sz w:val="22"/>
          <w:szCs w:val="22"/>
        </w:rPr>
        <w:t>III, da Lei n° 12.378, de 31 de dezembro de 2010</w:t>
      </w:r>
      <w:r w:rsidR="008D109E" w:rsidRPr="00BE60E1">
        <w:rPr>
          <w:strike/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Pr="00BE60E1" w:rsidRDefault="008D109E" w:rsidP="000A18AF">
      <w:pPr>
        <w:jc w:val="both"/>
        <w:rPr>
          <w:strike/>
          <w:sz w:val="22"/>
          <w:szCs w:val="22"/>
        </w:rPr>
      </w:pPr>
    </w:p>
    <w:p w:rsidR="00BC6826" w:rsidRPr="00BE60E1" w:rsidRDefault="00BC6826" w:rsidP="000A18AF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 xml:space="preserve">Considerando a </w:t>
      </w:r>
      <w:r w:rsidR="00D52FD9" w:rsidRPr="00BE60E1">
        <w:rPr>
          <w:strike/>
          <w:sz w:val="22"/>
          <w:szCs w:val="22"/>
        </w:rPr>
        <w:t>Portaria CAU/SP nº 031, de 28 de abril de 2014 que disciplina o ressarcimento de despesas para agentes de fiscalização e subgerentes regionais do CAU/SP no exercício de atividades típicas/ próprias de suas funções</w:t>
      </w:r>
      <w:r w:rsidRPr="00BE60E1">
        <w:rPr>
          <w:strike/>
          <w:sz w:val="22"/>
          <w:szCs w:val="22"/>
        </w:rPr>
        <w:t>;</w:t>
      </w:r>
    </w:p>
    <w:p w:rsidR="00BC6826" w:rsidRPr="00BE60E1" w:rsidRDefault="00BC6826" w:rsidP="000A18AF">
      <w:pPr>
        <w:jc w:val="both"/>
        <w:rPr>
          <w:strike/>
          <w:sz w:val="22"/>
          <w:szCs w:val="22"/>
        </w:rPr>
      </w:pPr>
    </w:p>
    <w:p w:rsidR="00BC6826" w:rsidRPr="00BE60E1" w:rsidRDefault="00056E5E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E60E1">
        <w:rPr>
          <w:rFonts w:ascii="Times New Roman" w:hAnsi="Times New Roman" w:cs="Times New Roman"/>
          <w:strike/>
          <w:sz w:val="22"/>
          <w:szCs w:val="22"/>
        </w:rPr>
        <w:t xml:space="preserve">Considerando o Memorando nº </w:t>
      </w:r>
      <w:r w:rsidR="003513F1" w:rsidRPr="00BE60E1">
        <w:rPr>
          <w:rFonts w:ascii="Times New Roman" w:hAnsi="Times New Roman" w:cs="Times New Roman"/>
          <w:strike/>
          <w:sz w:val="22"/>
          <w:szCs w:val="22"/>
        </w:rPr>
        <w:t>110</w:t>
      </w:r>
      <w:r w:rsidRPr="00BE60E1">
        <w:rPr>
          <w:rFonts w:ascii="Times New Roman" w:hAnsi="Times New Roman" w:cs="Times New Roman"/>
          <w:strike/>
          <w:sz w:val="22"/>
          <w:szCs w:val="22"/>
        </w:rPr>
        <w:t xml:space="preserve">/2017/CAU/SP – </w:t>
      </w:r>
      <w:r w:rsidR="00BC6826" w:rsidRPr="00BE60E1">
        <w:rPr>
          <w:rFonts w:ascii="Times New Roman" w:hAnsi="Times New Roman" w:cs="Times New Roman"/>
          <w:strike/>
          <w:sz w:val="22"/>
          <w:szCs w:val="22"/>
        </w:rPr>
        <w:t>RH</w:t>
      </w:r>
      <w:r w:rsidRPr="00BE60E1">
        <w:rPr>
          <w:rFonts w:ascii="Times New Roman" w:hAnsi="Times New Roman" w:cs="Times New Roman"/>
          <w:strike/>
          <w:sz w:val="22"/>
          <w:szCs w:val="22"/>
        </w:rPr>
        <w:t xml:space="preserve">, de </w:t>
      </w:r>
      <w:r w:rsidR="003513F1" w:rsidRPr="00BE60E1">
        <w:rPr>
          <w:rFonts w:ascii="Times New Roman" w:hAnsi="Times New Roman" w:cs="Times New Roman"/>
          <w:strike/>
          <w:sz w:val="22"/>
          <w:szCs w:val="22"/>
        </w:rPr>
        <w:t>25</w:t>
      </w:r>
      <w:r w:rsidR="00BC6826" w:rsidRPr="00BE60E1">
        <w:rPr>
          <w:rFonts w:ascii="Times New Roman" w:hAnsi="Times New Roman" w:cs="Times New Roman"/>
          <w:strike/>
          <w:sz w:val="22"/>
          <w:szCs w:val="22"/>
        </w:rPr>
        <w:t xml:space="preserve"> de julho</w:t>
      </w:r>
      <w:r w:rsidRPr="00BE60E1">
        <w:rPr>
          <w:rFonts w:ascii="Times New Roman" w:hAnsi="Times New Roman" w:cs="Times New Roman"/>
          <w:strike/>
          <w:sz w:val="22"/>
          <w:szCs w:val="22"/>
        </w:rPr>
        <w:t xml:space="preserve"> de 2017</w:t>
      </w:r>
      <w:r w:rsidR="00BC6826" w:rsidRPr="00BE60E1">
        <w:rPr>
          <w:rFonts w:ascii="Times New Roman" w:hAnsi="Times New Roman" w:cs="Times New Roman"/>
          <w:strike/>
          <w:sz w:val="22"/>
          <w:szCs w:val="22"/>
        </w:rPr>
        <w:t xml:space="preserve"> que solicitou </w:t>
      </w:r>
      <w:r w:rsidR="003513F1" w:rsidRPr="00BE60E1">
        <w:rPr>
          <w:rFonts w:ascii="Times New Roman" w:hAnsi="Times New Roman" w:cs="Times New Roman"/>
          <w:strike/>
          <w:sz w:val="22"/>
          <w:szCs w:val="22"/>
        </w:rPr>
        <w:t>a alteração da Portaria CAU/SP nº 031, de 28 de abril de 2014</w:t>
      </w:r>
      <w:r w:rsidR="00BC6826" w:rsidRPr="00BE60E1">
        <w:rPr>
          <w:rFonts w:ascii="Times New Roman" w:hAnsi="Times New Roman" w:cs="Times New Roman"/>
          <w:strike/>
          <w:sz w:val="22"/>
          <w:szCs w:val="22"/>
        </w:rPr>
        <w:t xml:space="preserve">; </w:t>
      </w:r>
    </w:p>
    <w:p w:rsidR="003513F1" w:rsidRPr="00BE60E1" w:rsidRDefault="003513F1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3513F1" w:rsidRPr="00BE60E1" w:rsidRDefault="003513F1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E60E1">
        <w:rPr>
          <w:rFonts w:ascii="Times New Roman" w:hAnsi="Times New Roman" w:cs="Times New Roman"/>
          <w:strike/>
          <w:sz w:val="22"/>
          <w:szCs w:val="22"/>
        </w:rPr>
        <w:t>Considerando que atualmente não é condição para o exercício das atividades externas, que não exista o registro de ponto;</w:t>
      </w:r>
    </w:p>
    <w:p w:rsidR="003513F1" w:rsidRPr="00BE60E1" w:rsidRDefault="003513F1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3513F1" w:rsidRPr="00BE60E1" w:rsidRDefault="003513F1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E60E1">
        <w:rPr>
          <w:rFonts w:ascii="Times New Roman" w:hAnsi="Times New Roman" w:cs="Times New Roman"/>
          <w:strike/>
          <w:sz w:val="22"/>
          <w:szCs w:val="22"/>
        </w:rPr>
        <w:t>Considerando que os empregados na função de agente de fiscalização do CAU/SP passaram a registrar seu ponto na entrada e saída diária, a partir de 22/04/2017;</w:t>
      </w:r>
    </w:p>
    <w:p w:rsidR="00D014D9" w:rsidRPr="00BE60E1" w:rsidRDefault="00D014D9" w:rsidP="008D109E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56E5E" w:rsidRPr="00BE60E1" w:rsidRDefault="00056E5E" w:rsidP="000A18AF">
      <w:pPr>
        <w:rPr>
          <w:b/>
          <w:strike/>
          <w:sz w:val="22"/>
          <w:szCs w:val="22"/>
        </w:rPr>
      </w:pPr>
    </w:p>
    <w:p w:rsidR="000A18AF" w:rsidRPr="00BE60E1" w:rsidRDefault="000A18AF" w:rsidP="000A18AF">
      <w:pPr>
        <w:rPr>
          <w:b/>
          <w:strike/>
          <w:sz w:val="22"/>
          <w:szCs w:val="22"/>
        </w:rPr>
      </w:pPr>
      <w:r w:rsidRPr="00BE60E1">
        <w:rPr>
          <w:b/>
          <w:strike/>
          <w:sz w:val="22"/>
          <w:szCs w:val="22"/>
        </w:rPr>
        <w:t>RESOLVE:</w:t>
      </w:r>
    </w:p>
    <w:p w:rsidR="000A18AF" w:rsidRPr="00BE60E1" w:rsidRDefault="000A18AF" w:rsidP="000A18AF">
      <w:pPr>
        <w:rPr>
          <w:strike/>
          <w:sz w:val="22"/>
          <w:szCs w:val="22"/>
        </w:rPr>
      </w:pPr>
    </w:p>
    <w:p w:rsidR="00753199" w:rsidRPr="00BE60E1" w:rsidRDefault="000A18AF" w:rsidP="003513F1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E60E1">
        <w:rPr>
          <w:rFonts w:ascii="Times New Roman" w:hAnsi="Times New Roman" w:cs="Times New Roman"/>
          <w:strike/>
          <w:sz w:val="22"/>
          <w:szCs w:val="22"/>
        </w:rPr>
        <w:t xml:space="preserve">Art. 1° </w:t>
      </w:r>
      <w:r w:rsidR="003513F1" w:rsidRPr="00BE60E1">
        <w:rPr>
          <w:rFonts w:ascii="Times New Roman" w:hAnsi="Times New Roman" w:cs="Times New Roman"/>
          <w:strike/>
          <w:sz w:val="22"/>
          <w:szCs w:val="22"/>
        </w:rPr>
        <w:t>Alterar a Portaria CAU/SP nº 031, de 28 de abril de 2014 que disciplina o ressarcimento de despesas para agentes de fiscalização e subgerentes regionais do CAU/SP no exercício de atividades típicas/ próprias de suas funções para suprimir o texto “considerando que as funções tratadas nesta Portaria são incompatíveis com a fixação de horário de trabalho”, passando o ato normativa a ter a redação constante do Anexo I da presente Portaria</w:t>
      </w:r>
      <w:r w:rsidR="00753199" w:rsidRPr="00BE60E1">
        <w:rPr>
          <w:rFonts w:ascii="Times New Roman" w:hAnsi="Times New Roman" w:cs="Times New Roman"/>
          <w:strike/>
          <w:sz w:val="22"/>
          <w:szCs w:val="22"/>
        </w:rPr>
        <w:t>.</w:t>
      </w:r>
    </w:p>
    <w:p w:rsidR="003E2F2F" w:rsidRPr="00BE60E1" w:rsidRDefault="000A18AF" w:rsidP="003E2F2F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br/>
      </w:r>
      <w:r w:rsidR="003E2F2F" w:rsidRPr="00BE60E1">
        <w:rPr>
          <w:strike/>
          <w:sz w:val="22"/>
          <w:szCs w:val="22"/>
        </w:rPr>
        <w:t xml:space="preserve">Art. </w:t>
      </w:r>
      <w:r w:rsidR="00D8068B" w:rsidRPr="00BE60E1">
        <w:rPr>
          <w:strike/>
          <w:sz w:val="22"/>
          <w:szCs w:val="22"/>
        </w:rPr>
        <w:t>2</w:t>
      </w:r>
      <w:r w:rsidR="003E2F2F" w:rsidRPr="00BE60E1">
        <w:rPr>
          <w:strike/>
          <w:sz w:val="22"/>
          <w:szCs w:val="22"/>
        </w:rPr>
        <w:t>º Esta Portaria entra em vigor na data de sua assinatura.</w:t>
      </w:r>
    </w:p>
    <w:p w:rsidR="000A18AF" w:rsidRPr="00BE60E1" w:rsidRDefault="000A18AF" w:rsidP="000A18AF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A18AF" w:rsidRPr="00BE60E1" w:rsidRDefault="000A18AF" w:rsidP="000A18AF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AD084A" w:rsidRPr="00BE60E1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trike/>
          <w:sz w:val="22"/>
          <w:szCs w:val="22"/>
        </w:rPr>
      </w:pPr>
      <w:r w:rsidRPr="00BE60E1">
        <w:rPr>
          <w:rFonts w:ascii="Times New Roman" w:hAnsi="Times New Roman" w:cs="Times New Roman"/>
          <w:strike/>
          <w:sz w:val="22"/>
          <w:szCs w:val="22"/>
        </w:rPr>
        <w:t xml:space="preserve">São Paulo, </w:t>
      </w:r>
      <w:r w:rsidR="001F6046" w:rsidRPr="00BE60E1">
        <w:rPr>
          <w:rFonts w:ascii="Times New Roman" w:hAnsi="Times New Roman" w:cs="Times New Roman"/>
          <w:strike/>
          <w:sz w:val="22"/>
          <w:szCs w:val="22"/>
        </w:rPr>
        <w:t>01 de agosto</w:t>
      </w:r>
      <w:r w:rsidR="00BE6B03" w:rsidRPr="00BE60E1">
        <w:rPr>
          <w:rFonts w:ascii="Times New Roman" w:hAnsi="Times New Roman" w:cs="Times New Roman"/>
          <w:strike/>
          <w:sz w:val="22"/>
          <w:szCs w:val="22"/>
        </w:rPr>
        <w:t xml:space="preserve"> de 201</w:t>
      </w:r>
      <w:r w:rsidR="00585EB2" w:rsidRPr="00BE60E1">
        <w:rPr>
          <w:rFonts w:ascii="Times New Roman" w:hAnsi="Times New Roman" w:cs="Times New Roman"/>
          <w:strike/>
          <w:sz w:val="22"/>
          <w:szCs w:val="22"/>
        </w:rPr>
        <w:t>7</w:t>
      </w:r>
      <w:r w:rsidRPr="00BE60E1">
        <w:rPr>
          <w:rFonts w:ascii="Times New Roman" w:hAnsi="Times New Roman" w:cs="Times New Roman"/>
          <w:strike/>
          <w:sz w:val="22"/>
          <w:szCs w:val="22"/>
        </w:rPr>
        <w:t>.</w:t>
      </w:r>
    </w:p>
    <w:p w:rsidR="00AD084A" w:rsidRPr="00BE60E1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0A18AF" w:rsidRPr="00BE60E1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AD084A" w:rsidRPr="00BE60E1" w:rsidRDefault="00AD084A" w:rsidP="005D5284">
      <w:pPr>
        <w:ind w:right="-7"/>
        <w:jc w:val="center"/>
        <w:rPr>
          <w:b/>
          <w:strike/>
          <w:sz w:val="22"/>
          <w:szCs w:val="22"/>
        </w:rPr>
      </w:pPr>
      <w:r w:rsidRPr="00BE60E1">
        <w:rPr>
          <w:b/>
          <w:strike/>
          <w:sz w:val="22"/>
          <w:szCs w:val="22"/>
        </w:rPr>
        <w:t xml:space="preserve">Gilberto Silva Domingues de Oliveira Belleza </w:t>
      </w:r>
    </w:p>
    <w:p w:rsidR="00B61D08" w:rsidRPr="00BE60E1" w:rsidRDefault="00AD084A" w:rsidP="00F5407E">
      <w:pPr>
        <w:ind w:right="-7"/>
        <w:jc w:val="center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Presidente do CAU/SP</w:t>
      </w: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strike/>
          <w:sz w:val="22"/>
          <w:szCs w:val="22"/>
        </w:rPr>
      </w:pPr>
    </w:p>
    <w:p w:rsidR="003513F1" w:rsidRPr="00BE60E1" w:rsidRDefault="003513F1" w:rsidP="00F5407E">
      <w:pPr>
        <w:ind w:right="-7"/>
        <w:jc w:val="center"/>
        <w:rPr>
          <w:b/>
          <w:strike/>
          <w:sz w:val="22"/>
          <w:szCs w:val="22"/>
        </w:rPr>
      </w:pPr>
      <w:r w:rsidRPr="00BE60E1">
        <w:rPr>
          <w:b/>
          <w:strike/>
          <w:sz w:val="22"/>
          <w:szCs w:val="22"/>
        </w:rPr>
        <w:t>ANEXO I</w:t>
      </w:r>
    </w:p>
    <w:p w:rsidR="003513F1" w:rsidRPr="00BE60E1" w:rsidRDefault="003513F1" w:rsidP="003513F1">
      <w:pPr>
        <w:ind w:right="-7"/>
        <w:jc w:val="center"/>
        <w:rPr>
          <w:b/>
          <w:bCs/>
          <w:strike/>
          <w:sz w:val="22"/>
          <w:szCs w:val="22"/>
        </w:rPr>
      </w:pPr>
    </w:p>
    <w:p w:rsidR="003513F1" w:rsidRPr="00BE60E1" w:rsidRDefault="003513F1" w:rsidP="003513F1">
      <w:pPr>
        <w:ind w:right="-7"/>
        <w:jc w:val="center"/>
        <w:rPr>
          <w:b/>
          <w:bCs/>
          <w:strike/>
          <w:sz w:val="22"/>
          <w:szCs w:val="22"/>
        </w:rPr>
      </w:pPr>
    </w:p>
    <w:p w:rsidR="003513F1" w:rsidRPr="00BE60E1" w:rsidRDefault="003513F1" w:rsidP="003513F1">
      <w:pPr>
        <w:jc w:val="center"/>
        <w:rPr>
          <w:b/>
          <w:strike/>
          <w:sz w:val="22"/>
          <w:szCs w:val="22"/>
        </w:rPr>
      </w:pPr>
      <w:r w:rsidRPr="00BE60E1">
        <w:rPr>
          <w:b/>
          <w:strike/>
          <w:sz w:val="22"/>
          <w:szCs w:val="22"/>
        </w:rPr>
        <w:t>PORTARIA CAU/SP Nº 031/2014, de 28 de abril de 2014.</w:t>
      </w:r>
    </w:p>
    <w:p w:rsidR="003513F1" w:rsidRPr="00BE60E1" w:rsidRDefault="003513F1" w:rsidP="003513F1">
      <w:pPr>
        <w:jc w:val="center"/>
        <w:rPr>
          <w:b/>
          <w:i/>
          <w:strike/>
          <w:color w:val="0070C0"/>
          <w:sz w:val="22"/>
          <w:szCs w:val="22"/>
        </w:rPr>
      </w:pPr>
      <w:r w:rsidRPr="00BE60E1">
        <w:rPr>
          <w:b/>
          <w:i/>
          <w:strike/>
          <w:color w:val="0070C0"/>
          <w:sz w:val="22"/>
          <w:szCs w:val="22"/>
        </w:rPr>
        <w:t>(</w:t>
      </w:r>
      <w:proofErr w:type="gramStart"/>
      <w:r w:rsidRPr="00BE60E1">
        <w:rPr>
          <w:b/>
          <w:i/>
          <w:strike/>
          <w:color w:val="0070C0"/>
          <w:sz w:val="22"/>
          <w:szCs w:val="22"/>
        </w:rPr>
        <w:t>alterada</w:t>
      </w:r>
      <w:proofErr w:type="gramEnd"/>
      <w:r w:rsidRPr="00BE60E1">
        <w:rPr>
          <w:b/>
          <w:i/>
          <w:strike/>
          <w:color w:val="0070C0"/>
          <w:sz w:val="22"/>
          <w:szCs w:val="22"/>
        </w:rPr>
        <w:t xml:space="preserve"> pela Portaria CAU/SP nº 144, de 01 de agosto de 2017)</w:t>
      </w:r>
    </w:p>
    <w:p w:rsidR="003513F1" w:rsidRPr="00BE60E1" w:rsidRDefault="003513F1" w:rsidP="003513F1">
      <w:pPr>
        <w:ind w:left="4536"/>
        <w:jc w:val="both"/>
        <w:rPr>
          <w:b/>
          <w:strike/>
          <w:sz w:val="22"/>
          <w:szCs w:val="22"/>
        </w:rPr>
      </w:pPr>
    </w:p>
    <w:p w:rsidR="003513F1" w:rsidRPr="00BE60E1" w:rsidRDefault="003513F1" w:rsidP="003513F1">
      <w:pPr>
        <w:ind w:left="4820"/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Disciplina o ressarcimento de despesas para agentes de fiscalização e subgerentes regionais do CAU/SP no exercício de atividades típicas/ próprias de suas funções.</w:t>
      </w:r>
    </w:p>
    <w:p w:rsidR="003513F1" w:rsidRPr="00BE60E1" w:rsidRDefault="003513F1" w:rsidP="003513F1">
      <w:pPr>
        <w:ind w:left="4536"/>
        <w:jc w:val="both"/>
        <w:rPr>
          <w:b/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O Presidente do Conselho de Arquitetura e Urbanismo de São Paulo - CAU/SP, no uso das atribuições legais previstas no artigo 35, inciso III da Lei 12.378/2010, artigo 22, alíneas “b” e “o” do Regimento Interno do CAU/SP, e de acordo com as deliberações adotadas na Diretoria Executiva do CAU/SP, ocorrida em 14/03/2013, e ainda,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spacing w:after="200" w:line="276" w:lineRule="auto"/>
        <w:jc w:val="both"/>
        <w:rPr>
          <w:b/>
          <w:strike/>
          <w:sz w:val="22"/>
          <w:szCs w:val="22"/>
        </w:rPr>
      </w:pPr>
      <w:r w:rsidRPr="00BE60E1">
        <w:rPr>
          <w:strike/>
          <w:sz w:val="22"/>
          <w:szCs w:val="22"/>
        </w:rPr>
        <w:t>Considerando que o os Contratos de Trabalho firmados, relativos as funções de agente de fiscalização e subgerentes regionais o foram sob a égide do Artigo 62, I e II, da Consolidação das Leis do Trabalho;</w:t>
      </w:r>
    </w:p>
    <w:p w:rsidR="003513F1" w:rsidRPr="00BE60E1" w:rsidRDefault="003513F1" w:rsidP="003513F1">
      <w:pPr>
        <w:spacing w:after="200" w:line="276" w:lineRule="auto"/>
        <w:jc w:val="both"/>
        <w:rPr>
          <w:i/>
          <w:strike/>
          <w:color w:val="0070C0"/>
          <w:sz w:val="22"/>
          <w:szCs w:val="22"/>
        </w:rPr>
      </w:pPr>
      <w:r w:rsidRPr="00BE60E1">
        <w:rPr>
          <w:strike/>
          <w:sz w:val="22"/>
          <w:szCs w:val="22"/>
        </w:rPr>
        <w:t>Considerando que as funções tratadas nesta Portaria são incompatíveis com a fixação de horário de trabalho;</w:t>
      </w:r>
      <w:r w:rsidRPr="00BE60E1">
        <w:rPr>
          <w:i/>
          <w:strike/>
          <w:sz w:val="22"/>
          <w:szCs w:val="22"/>
        </w:rPr>
        <w:t>(</w:t>
      </w:r>
      <w:r w:rsidRPr="00BE60E1">
        <w:rPr>
          <w:i/>
          <w:strike/>
          <w:color w:val="0070C0"/>
          <w:sz w:val="22"/>
          <w:szCs w:val="22"/>
        </w:rPr>
        <w:t>suprimido nos termos da Portaria CAU/SP nº 144, de 01 de agosto de 2017)</w:t>
      </w:r>
    </w:p>
    <w:p w:rsidR="003513F1" w:rsidRPr="00BE60E1" w:rsidRDefault="003513F1" w:rsidP="003513F1">
      <w:pPr>
        <w:spacing w:after="200" w:line="276" w:lineRule="auto"/>
        <w:jc w:val="both"/>
        <w:rPr>
          <w:b/>
          <w:strike/>
          <w:sz w:val="22"/>
          <w:szCs w:val="22"/>
        </w:rPr>
      </w:pPr>
      <w:r w:rsidRPr="00BE60E1">
        <w:rPr>
          <w:strike/>
          <w:sz w:val="22"/>
          <w:szCs w:val="22"/>
        </w:rPr>
        <w:t>Considerando a necessidade de se estabelecer normas para disciplinar o ressarcimento de despesas para os agentes de fiscalização e subgerentes regionais do CAU/SP, no que diz respeito ao exercício das atividades típicas/ próprias de suas funções;</w:t>
      </w:r>
    </w:p>
    <w:p w:rsidR="003513F1" w:rsidRPr="00BE60E1" w:rsidRDefault="003513F1" w:rsidP="003513F1">
      <w:pPr>
        <w:spacing w:after="200" w:line="276" w:lineRule="auto"/>
        <w:jc w:val="both"/>
        <w:rPr>
          <w:b/>
          <w:strike/>
          <w:sz w:val="22"/>
          <w:szCs w:val="22"/>
        </w:rPr>
      </w:pPr>
      <w:r w:rsidRPr="00BE60E1">
        <w:rPr>
          <w:strike/>
          <w:sz w:val="22"/>
          <w:szCs w:val="22"/>
        </w:rPr>
        <w:t>Considerando que as atividades típicas ou próprias às funções de agente de fiscalização e subgerentes regionais não são enquadráveis nas disposições da Portaria CAU/SP nº 023/2013, de 18 de setembro de 2013;</w:t>
      </w:r>
    </w:p>
    <w:p w:rsidR="003513F1" w:rsidRPr="00BE60E1" w:rsidRDefault="003513F1" w:rsidP="003513F1">
      <w:pPr>
        <w:jc w:val="both"/>
        <w:rPr>
          <w:b/>
          <w:strike/>
          <w:sz w:val="22"/>
          <w:szCs w:val="22"/>
        </w:rPr>
      </w:pPr>
      <w:r w:rsidRPr="00BE60E1">
        <w:rPr>
          <w:b/>
          <w:strike/>
          <w:sz w:val="22"/>
          <w:szCs w:val="22"/>
        </w:rPr>
        <w:t>RESOLVE:</w:t>
      </w:r>
    </w:p>
    <w:p w:rsidR="003513F1" w:rsidRPr="00BE60E1" w:rsidRDefault="003513F1" w:rsidP="003513F1">
      <w:pPr>
        <w:jc w:val="both"/>
        <w:rPr>
          <w:b/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Art. 1º O ressarcimento de despesas para agentes de fiscalização e subgerentes regionais do CAU/SP, quanto ao exercício de atividades típicas/próprias de suas funções passam a ser disciplinados por esta Portaria.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Art. 2º Para fins de aplicação desta Portaria, consideram-se funções atípicas, aquelas previstas nos incisos I, II, III e IV, do parágrafo único, do artigo 1º, da Portaria CAU/SP nº 23/2013, de 18 de setembro de 2013.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 xml:space="preserve">Art. 3º Conceitua-se como despesa </w:t>
      </w:r>
      <w:proofErr w:type="spellStart"/>
      <w:r w:rsidRPr="00BE60E1">
        <w:rPr>
          <w:strike/>
          <w:sz w:val="22"/>
          <w:szCs w:val="22"/>
        </w:rPr>
        <w:t>ressarcível</w:t>
      </w:r>
      <w:proofErr w:type="spellEnd"/>
      <w:r w:rsidRPr="00BE60E1">
        <w:rPr>
          <w:strike/>
          <w:sz w:val="22"/>
          <w:szCs w:val="22"/>
        </w:rPr>
        <w:t xml:space="preserve"> para os efeitos desta Portaria o pernoite em cidade distinta da Sede Regional na qual esteja lotado o agente ou o subgerente regional e ainda àquela relativa a 01 (uma) refeição diária e estacionamento.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color w:val="FF0000"/>
          <w:sz w:val="22"/>
          <w:szCs w:val="22"/>
        </w:rPr>
      </w:pPr>
      <w:r w:rsidRPr="00BE60E1">
        <w:rPr>
          <w:strike/>
          <w:sz w:val="22"/>
          <w:szCs w:val="22"/>
        </w:rPr>
        <w:t xml:space="preserve">§1º Para fazer jus ao ressarcimento previsto no </w:t>
      </w:r>
      <w:r w:rsidRPr="00BE60E1">
        <w:rPr>
          <w:i/>
          <w:strike/>
          <w:sz w:val="22"/>
          <w:szCs w:val="22"/>
        </w:rPr>
        <w:t xml:space="preserve">caput, </w:t>
      </w:r>
      <w:r w:rsidRPr="00BE60E1">
        <w:rPr>
          <w:strike/>
          <w:sz w:val="22"/>
          <w:szCs w:val="22"/>
        </w:rPr>
        <w:t xml:space="preserve">o agente fiscal ou o subgerente regional deverão comprovar que a localidade visitada esteja localizada a acima de 150Km (cento e cinquenta quilômetros) de distância da Sede Regional a qual esteja lotado. 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lastRenderedPageBreak/>
        <w:t>§2º O ressarcimento de despesas previsto no Artigo 3º desta norma fica limitado ao valor de R$ 200,00 (duzentos reais) por pernoite, mediante a apresentação, para a prestação de contas, dos seguintes documentos:</w:t>
      </w:r>
    </w:p>
    <w:p w:rsidR="003513F1" w:rsidRPr="00BE60E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No caso de despesa com diária de Hotel: Nota Fiscal de Serviços;</w:t>
      </w:r>
    </w:p>
    <w:p w:rsidR="003513F1" w:rsidRPr="00BE60E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No caso de despesas com refeições: Nota Fiscal de Serviços ou Recibo;</w:t>
      </w:r>
    </w:p>
    <w:p w:rsidR="003513F1" w:rsidRPr="00BE60E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 xml:space="preserve">No caso de despesas com estacionamento: Nota Fiscal de Serviços ou Recibo. 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§3º O agente de fiscalização e o subgerente regional não terão, nos termos desta Portaria, direito ao ressarcimento de despesas relativas ao deslocamento bem como a 01 (uma) refeição diária, uma vez que percebem o vale refeição, bem como, o vale combustível para esta finalidade.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 xml:space="preserve">§4º O valor relativo a despesa com refeição de que trata o </w:t>
      </w:r>
      <w:r w:rsidRPr="00BE60E1">
        <w:rPr>
          <w:i/>
          <w:strike/>
          <w:sz w:val="22"/>
          <w:szCs w:val="22"/>
        </w:rPr>
        <w:t>caput</w:t>
      </w:r>
      <w:r w:rsidRPr="00BE60E1">
        <w:rPr>
          <w:strike/>
          <w:sz w:val="22"/>
          <w:szCs w:val="22"/>
        </w:rPr>
        <w:t xml:space="preserve"> deste artigo, não poderá ser superior àquele estabelecido à título de benefício alimentação aos funcionários do CAU/SP, considerando-se para tanto o valor nominal diário.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§5º Apenas em casos excepcionais, mediante solicitação formal prévia do agente fiscal ou do subgerente regional e autorização da Diretoria Administrativa e/ou Técnica poderá ser concedido o ressarcimento por deslocamento em veículo próprio, a razão da indenização praticada pelos Conselheiros do Estado de São Paulo.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I – Nos casos previstos neste parágrafo, a comprovação das despesas deverá ser feita através da apresentação dos respectivos comprovantes de abastecimento e de pagamento de pedágios;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II – Para a efetivação do ressarcimento das despesas previstas no presente parágrafo, devem ser anexadas à Ordem de Serviços, a autorização da Diretoria respectiva para uso de veículo próprio, bem como a solicitação de viagem.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 xml:space="preserve">Art.  </w:t>
      </w:r>
      <w:proofErr w:type="gramStart"/>
      <w:r w:rsidRPr="00BE60E1">
        <w:rPr>
          <w:strike/>
          <w:sz w:val="22"/>
          <w:szCs w:val="22"/>
        </w:rPr>
        <w:t>4º Mediante</w:t>
      </w:r>
      <w:proofErr w:type="gramEnd"/>
      <w:r w:rsidRPr="00BE60E1">
        <w:rPr>
          <w:strike/>
          <w:sz w:val="22"/>
          <w:szCs w:val="22"/>
        </w:rPr>
        <w:t xml:space="preserve"> a apresentação de cronograma de atividades, com a antecedência mínima de 05 (cinco) dias úteis, poderá o CAU/SP adotar o regime de adiantamento de despesas semanal.</w:t>
      </w: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</w:p>
    <w:p w:rsidR="003513F1" w:rsidRPr="00BE60E1" w:rsidRDefault="003513F1" w:rsidP="003513F1">
      <w:pPr>
        <w:jc w:val="both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 xml:space="preserve">Parágrafo único. Na hipótese prevista no </w:t>
      </w:r>
      <w:r w:rsidRPr="00BE60E1">
        <w:rPr>
          <w:i/>
          <w:strike/>
          <w:sz w:val="22"/>
          <w:szCs w:val="22"/>
        </w:rPr>
        <w:t>caput</w:t>
      </w:r>
      <w:r w:rsidRPr="00BE60E1">
        <w:rPr>
          <w:strike/>
          <w:sz w:val="22"/>
          <w:szCs w:val="22"/>
        </w:rPr>
        <w:t xml:space="preserve"> desta cláusula, deverá o agente de fiscalização ou o subgerente regional apresentar a devida prestação de contas, ratificada por seu superior imediato, no pr</w:t>
      </w:r>
      <w:r w:rsidR="00BE60E1">
        <w:rPr>
          <w:strike/>
          <w:sz w:val="22"/>
          <w:szCs w:val="22"/>
        </w:rPr>
        <w:t>azo de 05 (cinco) dias úteis.</w:t>
      </w:r>
      <w:bookmarkStart w:id="0" w:name="_GoBack"/>
      <w:bookmarkEnd w:id="0"/>
    </w:p>
    <w:p w:rsidR="003513F1" w:rsidRPr="00BE60E1" w:rsidRDefault="003513F1" w:rsidP="003513F1">
      <w:pPr>
        <w:jc w:val="center"/>
        <w:rPr>
          <w:strike/>
          <w:sz w:val="22"/>
          <w:szCs w:val="22"/>
        </w:rPr>
      </w:pPr>
    </w:p>
    <w:p w:rsidR="003513F1" w:rsidRPr="00BE60E1" w:rsidRDefault="003513F1" w:rsidP="003513F1">
      <w:pPr>
        <w:jc w:val="center"/>
        <w:rPr>
          <w:strike/>
          <w:sz w:val="22"/>
          <w:szCs w:val="22"/>
        </w:rPr>
      </w:pPr>
    </w:p>
    <w:p w:rsidR="003513F1" w:rsidRPr="00BE60E1" w:rsidRDefault="003513F1" w:rsidP="003513F1">
      <w:pPr>
        <w:jc w:val="center"/>
        <w:rPr>
          <w:strike/>
          <w:sz w:val="22"/>
          <w:szCs w:val="22"/>
        </w:rPr>
      </w:pPr>
      <w:r w:rsidRPr="00BE60E1">
        <w:rPr>
          <w:strike/>
          <w:sz w:val="22"/>
          <w:szCs w:val="22"/>
        </w:rPr>
        <w:t>São Paulo, 29 de abril de 2014.</w:t>
      </w:r>
    </w:p>
    <w:p w:rsidR="003513F1" w:rsidRPr="00BE60E1" w:rsidRDefault="003513F1" w:rsidP="003513F1">
      <w:pPr>
        <w:jc w:val="center"/>
        <w:rPr>
          <w:strike/>
          <w:sz w:val="22"/>
          <w:szCs w:val="22"/>
        </w:rPr>
      </w:pPr>
    </w:p>
    <w:p w:rsidR="003513F1" w:rsidRPr="00BE60E1" w:rsidRDefault="003513F1" w:rsidP="003513F1">
      <w:pPr>
        <w:jc w:val="center"/>
        <w:rPr>
          <w:b/>
          <w:strike/>
          <w:sz w:val="22"/>
          <w:szCs w:val="22"/>
        </w:rPr>
      </w:pPr>
      <w:r w:rsidRPr="00BE60E1">
        <w:rPr>
          <w:b/>
          <w:strike/>
          <w:sz w:val="22"/>
          <w:szCs w:val="22"/>
        </w:rPr>
        <w:t>AFONSO CELSO BUENO MONTEIRO</w:t>
      </w:r>
    </w:p>
    <w:p w:rsidR="003513F1" w:rsidRPr="00BE60E1" w:rsidRDefault="003513F1" w:rsidP="003513F1">
      <w:pPr>
        <w:jc w:val="center"/>
        <w:rPr>
          <w:b/>
          <w:strike/>
          <w:sz w:val="22"/>
          <w:szCs w:val="22"/>
        </w:rPr>
      </w:pPr>
      <w:r w:rsidRPr="00BE60E1">
        <w:rPr>
          <w:b/>
          <w:strike/>
          <w:sz w:val="22"/>
          <w:szCs w:val="22"/>
        </w:rPr>
        <w:t>PRESIDENTE DO CAU/SP</w:t>
      </w:r>
    </w:p>
    <w:p w:rsidR="003513F1" w:rsidRP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Pr="000A18AF" w:rsidRDefault="003513F1" w:rsidP="00F5407E">
      <w:pPr>
        <w:ind w:right="-7"/>
        <w:jc w:val="center"/>
        <w:rPr>
          <w:sz w:val="22"/>
          <w:szCs w:val="22"/>
        </w:rPr>
      </w:pPr>
    </w:p>
    <w:sectPr w:rsidR="003513F1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16" w:rsidRDefault="00822A16">
      <w:r>
        <w:separator/>
      </w:r>
    </w:p>
  </w:endnote>
  <w:endnote w:type="continuationSeparator" w:id="0">
    <w:p w:rsidR="00822A16" w:rsidRDefault="0082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</w:t>
            </w:r>
            <w:r w:rsidR="00D52FD9">
              <w:rPr>
                <w:sz w:val="18"/>
                <w:szCs w:val="18"/>
              </w:rPr>
              <w:t>4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832BD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832BD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16" w:rsidRDefault="00822A16">
      <w:r>
        <w:separator/>
      </w:r>
    </w:p>
  </w:footnote>
  <w:footnote w:type="continuationSeparator" w:id="0">
    <w:p w:rsidR="00822A16" w:rsidRDefault="0082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96AAE"/>
    <w:multiLevelType w:val="hybridMultilevel"/>
    <w:tmpl w:val="67CC7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B05697"/>
    <w:multiLevelType w:val="hybridMultilevel"/>
    <w:tmpl w:val="80EA1FDA"/>
    <w:lvl w:ilvl="0" w:tplc="B3F678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13F1"/>
    <w:rsid w:val="0035369C"/>
    <w:rsid w:val="0035526C"/>
    <w:rsid w:val="00360224"/>
    <w:rsid w:val="00380798"/>
    <w:rsid w:val="0038254F"/>
    <w:rsid w:val="003832BD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2A16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0E1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2FD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6DC3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6</cp:revision>
  <cp:lastPrinted>2024-06-13T19:09:00Z</cp:lastPrinted>
  <dcterms:created xsi:type="dcterms:W3CDTF">2017-08-01T14:55:00Z</dcterms:created>
  <dcterms:modified xsi:type="dcterms:W3CDTF">2024-06-13T19:09:00Z</dcterms:modified>
</cp:coreProperties>
</file>