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7A99" w14:textId="77777777" w:rsidR="005B0992" w:rsidRPr="00481D69" w:rsidRDefault="005B0992" w:rsidP="000C1520">
      <w:pPr>
        <w:rPr>
          <w:sz w:val="22"/>
          <w:szCs w:val="22"/>
        </w:rPr>
      </w:pPr>
    </w:p>
    <w:p w14:paraId="55463452" w14:textId="31C6957C" w:rsidR="0040720E" w:rsidRPr="00481D69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bookmarkStart w:id="1" w:name="_GoBack"/>
      <w:r w:rsidRPr="00481D69">
        <w:rPr>
          <w:b/>
          <w:sz w:val="22"/>
          <w:szCs w:val="22"/>
        </w:rPr>
        <w:t>POR</w:t>
      </w:r>
      <w:r w:rsidR="006A086C" w:rsidRPr="00481D69">
        <w:rPr>
          <w:b/>
          <w:sz w:val="22"/>
          <w:szCs w:val="22"/>
        </w:rPr>
        <w:t xml:space="preserve">TARIA PRESIDENCIAL CAU/SP Nº </w:t>
      </w:r>
      <w:r w:rsidR="007344ED" w:rsidRPr="00481D69">
        <w:rPr>
          <w:b/>
          <w:sz w:val="22"/>
          <w:szCs w:val="22"/>
        </w:rPr>
        <w:t>6</w:t>
      </w:r>
      <w:r w:rsidR="00943438">
        <w:rPr>
          <w:b/>
          <w:sz w:val="22"/>
          <w:szCs w:val="22"/>
        </w:rPr>
        <w:t>9</w:t>
      </w:r>
      <w:r w:rsidR="00C2523B">
        <w:rPr>
          <w:b/>
          <w:sz w:val="22"/>
          <w:szCs w:val="22"/>
        </w:rPr>
        <w:t>9</w:t>
      </w:r>
      <w:r w:rsidRPr="00481D69">
        <w:rPr>
          <w:b/>
          <w:sz w:val="22"/>
          <w:szCs w:val="22"/>
        </w:rPr>
        <w:t xml:space="preserve">, </w:t>
      </w:r>
      <w:r w:rsidR="00BF6005" w:rsidRPr="00481D69">
        <w:rPr>
          <w:b/>
          <w:sz w:val="22"/>
          <w:szCs w:val="22"/>
        </w:rPr>
        <w:t xml:space="preserve">DE </w:t>
      </w:r>
      <w:r w:rsidR="00542990">
        <w:rPr>
          <w:b/>
          <w:sz w:val="22"/>
          <w:szCs w:val="22"/>
        </w:rPr>
        <w:t>07</w:t>
      </w:r>
      <w:r w:rsidRPr="00481D69">
        <w:rPr>
          <w:b/>
          <w:sz w:val="22"/>
          <w:szCs w:val="22"/>
        </w:rPr>
        <w:t xml:space="preserve"> DE </w:t>
      </w:r>
      <w:r w:rsidR="00542990">
        <w:rPr>
          <w:b/>
          <w:sz w:val="22"/>
          <w:szCs w:val="22"/>
        </w:rPr>
        <w:t>MAIO</w:t>
      </w:r>
      <w:r w:rsidR="000C1520" w:rsidRPr="00481D69">
        <w:rPr>
          <w:b/>
          <w:sz w:val="22"/>
          <w:szCs w:val="22"/>
        </w:rPr>
        <w:t xml:space="preserve"> </w:t>
      </w:r>
      <w:r w:rsidRPr="00481D69">
        <w:rPr>
          <w:b/>
          <w:sz w:val="22"/>
          <w:szCs w:val="22"/>
        </w:rPr>
        <w:t>DE 202</w:t>
      </w:r>
      <w:r w:rsidR="007344ED" w:rsidRPr="00481D69">
        <w:rPr>
          <w:b/>
          <w:sz w:val="22"/>
          <w:szCs w:val="22"/>
        </w:rPr>
        <w:t>4</w:t>
      </w:r>
    </w:p>
    <w:p w14:paraId="0152077B" w14:textId="77777777" w:rsidR="0040720E" w:rsidRPr="00481D69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14:paraId="42F5BD6B" w14:textId="77777777" w:rsidR="00116C28" w:rsidRPr="00481D69" w:rsidRDefault="00116C28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14:paraId="41D794CE" w14:textId="3F5B6A93" w:rsidR="00C63321" w:rsidRPr="00481D69" w:rsidRDefault="00943438" w:rsidP="00C2523B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943438">
        <w:rPr>
          <w:rFonts w:ascii="Times New Roman" w:hAnsi="Times New Roman" w:cs="Times New Roman"/>
          <w:sz w:val="22"/>
          <w:szCs w:val="22"/>
        </w:rPr>
        <w:t>Altera a Portaria Presidencial CAU/SP nº 6</w:t>
      </w:r>
      <w:r w:rsidR="00C2523B">
        <w:rPr>
          <w:rFonts w:ascii="Times New Roman" w:hAnsi="Times New Roman" w:cs="Times New Roman"/>
          <w:sz w:val="22"/>
          <w:szCs w:val="22"/>
        </w:rPr>
        <w:t>41</w:t>
      </w:r>
      <w:r w:rsidRPr="00943438">
        <w:rPr>
          <w:rFonts w:ascii="Times New Roman" w:hAnsi="Times New Roman" w:cs="Times New Roman"/>
          <w:sz w:val="22"/>
          <w:szCs w:val="22"/>
        </w:rPr>
        <w:t xml:space="preserve">, de </w:t>
      </w:r>
      <w:r w:rsidR="00C2523B">
        <w:rPr>
          <w:rFonts w:ascii="Times New Roman" w:hAnsi="Times New Roman" w:cs="Times New Roman"/>
          <w:sz w:val="22"/>
          <w:szCs w:val="22"/>
        </w:rPr>
        <w:t>01</w:t>
      </w:r>
      <w:r w:rsidRPr="00943438">
        <w:rPr>
          <w:rFonts w:ascii="Times New Roman" w:hAnsi="Times New Roman" w:cs="Times New Roman"/>
          <w:sz w:val="22"/>
          <w:szCs w:val="22"/>
        </w:rPr>
        <w:t xml:space="preserve"> de </w:t>
      </w:r>
      <w:r w:rsidR="00C2523B">
        <w:rPr>
          <w:rFonts w:ascii="Times New Roman" w:hAnsi="Times New Roman" w:cs="Times New Roman"/>
          <w:sz w:val="22"/>
          <w:szCs w:val="22"/>
        </w:rPr>
        <w:t>março</w:t>
      </w:r>
      <w:r w:rsidR="006737C0">
        <w:rPr>
          <w:rFonts w:ascii="Times New Roman" w:hAnsi="Times New Roman" w:cs="Times New Roman"/>
          <w:sz w:val="22"/>
          <w:szCs w:val="22"/>
        </w:rPr>
        <w:t xml:space="preserve"> </w:t>
      </w:r>
      <w:r w:rsidR="00C2523B">
        <w:rPr>
          <w:rFonts w:ascii="Times New Roman" w:hAnsi="Times New Roman" w:cs="Times New Roman"/>
          <w:sz w:val="22"/>
          <w:szCs w:val="22"/>
        </w:rPr>
        <w:t>de 2024.</w:t>
      </w:r>
    </w:p>
    <w:bookmarkEnd w:id="1"/>
    <w:p w14:paraId="06746D9E" w14:textId="77777777" w:rsidR="00116C28" w:rsidRPr="00481D69" w:rsidRDefault="00116C28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B9E0484" w14:textId="77777777" w:rsidR="00FC4025" w:rsidRPr="00481D69" w:rsidRDefault="007344ED" w:rsidP="00FC4025">
      <w:pPr>
        <w:jc w:val="both"/>
        <w:rPr>
          <w:sz w:val="22"/>
          <w:szCs w:val="22"/>
        </w:rPr>
      </w:pPr>
      <w:r w:rsidRPr="00481D69">
        <w:rPr>
          <w:sz w:val="22"/>
          <w:szCs w:val="22"/>
        </w:rPr>
        <w:t xml:space="preserve">A Presidente do Conselho de Arquitetura e Urbanismo de São Paulo (CAU/SP), no exercício das atribuições que lhe confere a Lei n° 12.378, de 31 de dezembro de 2010 e com fundamento nas disposições contidas nos </w:t>
      </w:r>
      <w:proofErr w:type="spellStart"/>
      <w:r w:rsidRPr="00481D69">
        <w:rPr>
          <w:sz w:val="22"/>
          <w:szCs w:val="22"/>
        </w:rPr>
        <w:t>Arts</w:t>
      </w:r>
      <w:proofErr w:type="spellEnd"/>
      <w:r w:rsidRPr="00481D69">
        <w:rPr>
          <w:sz w:val="22"/>
          <w:szCs w:val="22"/>
        </w:rPr>
        <w:t xml:space="preserve">. 10 e </w:t>
      </w:r>
      <w:r w:rsidR="00481D69" w:rsidRPr="00481D69">
        <w:rPr>
          <w:sz w:val="22"/>
          <w:szCs w:val="22"/>
        </w:rPr>
        <w:t>182</w:t>
      </w:r>
      <w:r w:rsidRPr="00481D69">
        <w:rPr>
          <w:sz w:val="22"/>
          <w:szCs w:val="22"/>
        </w:rPr>
        <w:t xml:space="preserve">, XXXIX, ambos do Regimento Interno do CAU/SP, e ainda, </w:t>
      </w:r>
    </w:p>
    <w:p w14:paraId="382005AF" w14:textId="77777777" w:rsidR="00FC4025" w:rsidRPr="00481D69" w:rsidRDefault="00FC4025" w:rsidP="00FC4025">
      <w:pPr>
        <w:jc w:val="both"/>
        <w:rPr>
          <w:sz w:val="22"/>
          <w:szCs w:val="22"/>
        </w:rPr>
      </w:pPr>
    </w:p>
    <w:p w14:paraId="39EBC0C2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 xml:space="preserve">Considerando a Lei nº 4.320, de 17 de março de 1964, que estatui Normas Gerais de Direito Financeiro para elaboração e controle dos orçamentos e balanços da União, dos Estados, dos Municípios e do Distrito Federal, principalmente no que se refere aos seus </w:t>
      </w:r>
      <w:proofErr w:type="spellStart"/>
      <w:r w:rsidRPr="00C2523B">
        <w:rPr>
          <w:sz w:val="22"/>
          <w:szCs w:val="22"/>
        </w:rPr>
        <w:t>arts</w:t>
      </w:r>
      <w:proofErr w:type="spellEnd"/>
      <w:r w:rsidRPr="00C2523B">
        <w:rPr>
          <w:sz w:val="22"/>
          <w:szCs w:val="22"/>
        </w:rPr>
        <w:t>. 94 a 96, que tratam da contabilidade patrimonial e industrial;</w:t>
      </w:r>
    </w:p>
    <w:p w14:paraId="244EA8B9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78AB774D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61, de 14 de agosto de 2018, que instituiu a Comissão Interna de Patrimônio do Conselho de Arquitetura e Urbanismo de São Paulo (CAU/SP) e nomeou seus membros;</w:t>
      </w:r>
    </w:p>
    <w:p w14:paraId="650CCAB8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36C9D786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102, de 20 de fevereiro de 2019 e a Portaria Presidencial CAU/SP n.º 108, de 26 de março de 2019, que alteraram a Portaria Presidencial CAU/SP</w:t>
      </w:r>
    </w:p>
    <w:p w14:paraId="785E11FC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n.º 61, de 14 de agosto de 2018;</w:t>
      </w:r>
    </w:p>
    <w:p w14:paraId="4BE4D660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2500F505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130, de 18 de junho de 2019, que prorrogou a vigência da Portaria Presidencial CAU/SP n.º 61, de 14 de agosto de 2018;</w:t>
      </w:r>
    </w:p>
    <w:p w14:paraId="30C499FB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015411DF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108, de 26 de março de 2019, que altera o art. 4º da Portaria Presidencial CAU/SP n.º 061, de 14 de agosto de 2018, alterada pela Portaria Presidencial CAU/SP n.º 102, de 20 de fevereiro de 2019, que instituiu a Comissão Interna de Patrimônio do Conselho de Arquitetura e Urbanismo de São Paulo (CAU/SP) e nomeou seus membros;</w:t>
      </w:r>
    </w:p>
    <w:p w14:paraId="113E49C4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1DA0AF0F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184, de 22 de janeiro de 2020, que recompõe a Comissão Interna de Patrimônio do Conselho de Arquitetura e Urbanismo de São Paulo (CAU/SP), instituído pela Portaria Presidencial CAU/SP n.º 61, de 14 de agosto de 2018, alterada pela Portaria Presidencial CAU/SP n.º 102, de 20 de fevereiro de 2019 e pela Portaria Presidencial CAU/SP n.º 108, de 26 de março de 2019;</w:t>
      </w:r>
    </w:p>
    <w:p w14:paraId="3868A309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21436487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226, de 22 de dezembro de 2020, que reconduz a nomeação dos membros da Comissão Interna de Patrimônio do Conselho de Arquitetura e Urbanismo de São Paulo (CAU/SP), instituída pela Portaria Presidencial CAU/SP n.º 184, de 22 de janeiro de 2020;</w:t>
      </w:r>
    </w:p>
    <w:p w14:paraId="31745F84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588127F0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369, de 13 de dezembro de 2021, que reconduz a Comissão Interna de Patrimônio do Conselho de Arquitetura e Urbanismo de São Paulo (CAU/SP), recomposta pela Portaria Presidencial CAU/SP n.º 184, de 22 de janeiro de 2020;</w:t>
      </w:r>
    </w:p>
    <w:p w14:paraId="6DE60BFC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2D66AEAB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n.º 397, de 25 de abril de 2022, que revoga os incisos III e XII, do art. 3º, da Portaria Presidencial CAU/SP n.º 322, de 14 de julho de 2021, que institui o Grupo de Trabalho GT-Gestão Documental; revoga o art. 2º, da Portaria Presidencial CAU/SP n.º 369, de 13 de dezembro de 2021 e altera o art. 4º e parágrafo único, da Portaria Presidencial CAU/SP nº 184, de 22 de janeiro de 2020;</w:t>
      </w:r>
    </w:p>
    <w:p w14:paraId="5747B428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74D73ACB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Portaria Presidencial CAU/SP nº CAU/SP nº 486, de 27 de janeiro de 2023, que recompôs a Comissão Interna de Patrimônio do Conselho de Arquitetura e Urbanismo de São Paulo;</w:t>
      </w:r>
    </w:p>
    <w:p w14:paraId="7FF77CE5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547F66D5" w14:textId="77777777" w:rsidR="00C2523B" w:rsidRPr="00C2523B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que a vigência da Comissão Interna de Patrimônio do CAU/SP encerrou-se em 27 de janeiro de 2024;</w:t>
      </w:r>
    </w:p>
    <w:p w14:paraId="3698ED25" w14:textId="77777777" w:rsidR="00C2523B" w:rsidRPr="00C2523B" w:rsidRDefault="00C2523B" w:rsidP="00162975">
      <w:pPr>
        <w:jc w:val="both"/>
        <w:rPr>
          <w:sz w:val="22"/>
          <w:szCs w:val="22"/>
        </w:rPr>
      </w:pPr>
    </w:p>
    <w:p w14:paraId="6D730C65" w14:textId="23CE7045" w:rsidR="00242D00" w:rsidRDefault="00C2523B" w:rsidP="00162975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Considerando a necessidade de continuidade dos trabalhos anteriormente realizados pela Comissão Interna de Patrimônio do CAU/SP; e</w:t>
      </w:r>
    </w:p>
    <w:p w14:paraId="6B9B4C64" w14:textId="77777777" w:rsidR="00C2523B" w:rsidRDefault="00C2523B" w:rsidP="00162975">
      <w:pPr>
        <w:jc w:val="both"/>
        <w:rPr>
          <w:sz w:val="22"/>
          <w:szCs w:val="22"/>
        </w:rPr>
      </w:pPr>
    </w:p>
    <w:p w14:paraId="3FCE7BE8" w14:textId="5E0F954A" w:rsidR="00C2523B" w:rsidRDefault="00C2523B" w:rsidP="00162975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641, de 01 de março de 2024, que r</w:t>
      </w:r>
      <w:r w:rsidRPr="00C2523B">
        <w:rPr>
          <w:sz w:val="22"/>
          <w:szCs w:val="22"/>
        </w:rPr>
        <w:t>ecompõe a Comissão Interna de Patrimônio do Conselho de Arquitetura e Urbanismo de São Paulo (CAU/SP), instituído pela Portaria Presidencial CAU/SP n.º 61, de 14 de agosto de</w:t>
      </w:r>
      <w:r>
        <w:rPr>
          <w:sz w:val="22"/>
          <w:szCs w:val="22"/>
        </w:rPr>
        <w:t xml:space="preserve"> </w:t>
      </w:r>
      <w:r w:rsidRPr="00C2523B">
        <w:rPr>
          <w:sz w:val="22"/>
          <w:szCs w:val="22"/>
        </w:rPr>
        <w:t>2018</w:t>
      </w:r>
    </w:p>
    <w:p w14:paraId="68775D16" w14:textId="77777777" w:rsidR="00C2523B" w:rsidRPr="00481D69" w:rsidRDefault="00C2523B" w:rsidP="00C2523B">
      <w:pPr>
        <w:rPr>
          <w:sz w:val="22"/>
          <w:szCs w:val="22"/>
        </w:rPr>
      </w:pPr>
    </w:p>
    <w:p w14:paraId="71AF608C" w14:textId="77777777" w:rsidR="0040720E" w:rsidRPr="00481D69" w:rsidRDefault="0040720E" w:rsidP="000C1520">
      <w:pPr>
        <w:rPr>
          <w:b/>
          <w:sz w:val="22"/>
          <w:szCs w:val="22"/>
        </w:rPr>
      </w:pPr>
      <w:r w:rsidRPr="00481D69">
        <w:rPr>
          <w:b/>
          <w:sz w:val="22"/>
          <w:szCs w:val="22"/>
        </w:rPr>
        <w:t>RESOLVE:</w:t>
      </w:r>
    </w:p>
    <w:p w14:paraId="7017BD63" w14:textId="77777777" w:rsidR="0040720E" w:rsidRPr="00481D69" w:rsidRDefault="0040720E" w:rsidP="000C1520">
      <w:pPr>
        <w:rPr>
          <w:b/>
          <w:sz w:val="22"/>
          <w:szCs w:val="22"/>
        </w:rPr>
      </w:pPr>
    </w:p>
    <w:p w14:paraId="21516FAE" w14:textId="65E717A5" w:rsidR="00FC4025" w:rsidRPr="00481D69" w:rsidRDefault="006737C0" w:rsidP="006737C0">
      <w:pPr>
        <w:jc w:val="both"/>
        <w:rPr>
          <w:sz w:val="22"/>
          <w:szCs w:val="22"/>
        </w:rPr>
      </w:pPr>
      <w:r w:rsidRPr="006737C0">
        <w:rPr>
          <w:sz w:val="22"/>
          <w:szCs w:val="22"/>
        </w:rPr>
        <w:t xml:space="preserve">Art. 1° </w:t>
      </w:r>
      <w:r w:rsidR="00542990">
        <w:rPr>
          <w:sz w:val="22"/>
          <w:szCs w:val="22"/>
        </w:rPr>
        <w:t>Alterar o</w:t>
      </w:r>
      <w:r w:rsidRPr="006737C0">
        <w:rPr>
          <w:sz w:val="22"/>
          <w:szCs w:val="22"/>
        </w:rPr>
        <w:t xml:space="preserve"> Art. </w:t>
      </w:r>
      <w:r w:rsidR="00C2523B">
        <w:rPr>
          <w:sz w:val="22"/>
          <w:szCs w:val="22"/>
        </w:rPr>
        <w:t>4</w:t>
      </w:r>
      <w:r w:rsidRPr="006737C0">
        <w:rPr>
          <w:sz w:val="22"/>
          <w:szCs w:val="22"/>
        </w:rPr>
        <w:t>º da Portaria Presidencial CAU/SP n.º 6</w:t>
      </w:r>
      <w:r w:rsidR="00C2523B">
        <w:rPr>
          <w:sz w:val="22"/>
          <w:szCs w:val="22"/>
        </w:rPr>
        <w:t>41</w:t>
      </w:r>
      <w:r w:rsidRPr="006737C0">
        <w:rPr>
          <w:sz w:val="22"/>
          <w:szCs w:val="22"/>
        </w:rPr>
        <w:t xml:space="preserve">, de </w:t>
      </w:r>
      <w:r w:rsidR="00C2523B">
        <w:rPr>
          <w:sz w:val="22"/>
          <w:szCs w:val="22"/>
        </w:rPr>
        <w:t>01</w:t>
      </w:r>
      <w:r w:rsidRPr="006737C0">
        <w:rPr>
          <w:sz w:val="22"/>
          <w:szCs w:val="22"/>
        </w:rPr>
        <w:t xml:space="preserve"> de </w:t>
      </w:r>
      <w:r w:rsidR="00C2523B">
        <w:rPr>
          <w:sz w:val="22"/>
          <w:szCs w:val="22"/>
        </w:rPr>
        <w:t>março</w:t>
      </w:r>
      <w:r>
        <w:rPr>
          <w:sz w:val="22"/>
          <w:szCs w:val="22"/>
        </w:rPr>
        <w:t xml:space="preserve"> de 2024, </w:t>
      </w:r>
      <w:r w:rsidRPr="006737C0">
        <w:rPr>
          <w:sz w:val="22"/>
          <w:szCs w:val="22"/>
        </w:rPr>
        <w:t>para constar:</w:t>
      </w:r>
      <w:r w:rsidRPr="006737C0">
        <w:rPr>
          <w:sz w:val="22"/>
          <w:szCs w:val="22"/>
        </w:rPr>
        <w:cr/>
      </w:r>
    </w:p>
    <w:p w14:paraId="700229CD" w14:textId="77777777" w:rsidR="00C2523B" w:rsidRPr="00C2523B" w:rsidRDefault="006737C0" w:rsidP="00C2523B">
      <w:pPr>
        <w:jc w:val="both"/>
        <w:rPr>
          <w:sz w:val="22"/>
          <w:szCs w:val="22"/>
        </w:rPr>
      </w:pPr>
      <w:r>
        <w:rPr>
          <w:sz w:val="22"/>
          <w:szCs w:val="22"/>
        </w:rPr>
        <w:t>“</w:t>
      </w:r>
      <w:r w:rsidR="00C2523B" w:rsidRPr="00C2523B">
        <w:rPr>
          <w:sz w:val="22"/>
          <w:szCs w:val="22"/>
        </w:rPr>
        <w:t xml:space="preserve">Art. 4º Nomear, para composição da Comissão Interna de Patrimônio do CAU/SP instituída por esta Portaria, os seguintes empregados: </w:t>
      </w:r>
    </w:p>
    <w:p w14:paraId="1E0A8194" w14:textId="77777777" w:rsidR="00C2523B" w:rsidRPr="00C2523B" w:rsidRDefault="00C2523B" w:rsidP="00C2523B">
      <w:pPr>
        <w:jc w:val="both"/>
        <w:rPr>
          <w:sz w:val="22"/>
          <w:szCs w:val="22"/>
        </w:rPr>
      </w:pPr>
    </w:p>
    <w:p w14:paraId="1419D805" w14:textId="77777777" w:rsidR="00C2523B" w:rsidRPr="00C2523B" w:rsidRDefault="00C2523B" w:rsidP="00C2523B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>I – Aline Tavares Alves de Oliveira – matrícula 171 – Assistente Técnica – Aplicação: Atendimento;</w:t>
      </w:r>
    </w:p>
    <w:p w14:paraId="3E80F5B5" w14:textId="517DA5C7" w:rsidR="00C2523B" w:rsidRPr="00C2523B" w:rsidRDefault="00C2523B" w:rsidP="00C2523B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 xml:space="preserve">II – </w:t>
      </w:r>
      <w:proofErr w:type="spellStart"/>
      <w:r>
        <w:rPr>
          <w:sz w:val="22"/>
          <w:szCs w:val="22"/>
        </w:rPr>
        <w:t>Andre</w:t>
      </w:r>
      <w:proofErr w:type="spellEnd"/>
      <w:r>
        <w:rPr>
          <w:sz w:val="22"/>
          <w:szCs w:val="22"/>
        </w:rPr>
        <w:t xml:space="preserve"> Xavier </w:t>
      </w:r>
      <w:proofErr w:type="spellStart"/>
      <w:r>
        <w:rPr>
          <w:sz w:val="22"/>
          <w:szCs w:val="22"/>
        </w:rPr>
        <w:t>Juc</w:t>
      </w:r>
      <w:proofErr w:type="spellEnd"/>
      <w:r w:rsidRPr="00C2523B">
        <w:rPr>
          <w:sz w:val="22"/>
          <w:szCs w:val="22"/>
        </w:rPr>
        <w:t xml:space="preserve"> – matrícula </w:t>
      </w:r>
      <w:r>
        <w:rPr>
          <w:sz w:val="22"/>
          <w:szCs w:val="22"/>
        </w:rPr>
        <w:t>322</w:t>
      </w:r>
      <w:r w:rsidRPr="00C2523B">
        <w:rPr>
          <w:sz w:val="22"/>
          <w:szCs w:val="22"/>
        </w:rPr>
        <w:t xml:space="preserve"> – Assistente Técnico – Aplicação: Administrativo; </w:t>
      </w:r>
    </w:p>
    <w:p w14:paraId="745EFBF0" w14:textId="77777777" w:rsidR="00C2523B" w:rsidRPr="00C2523B" w:rsidRDefault="00C2523B" w:rsidP="00C2523B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 xml:space="preserve">III – Luan </w:t>
      </w:r>
      <w:proofErr w:type="spellStart"/>
      <w:r w:rsidRPr="00C2523B">
        <w:rPr>
          <w:sz w:val="22"/>
          <w:szCs w:val="22"/>
        </w:rPr>
        <w:t>Kendji</w:t>
      </w:r>
      <w:proofErr w:type="spellEnd"/>
      <w:r w:rsidRPr="00C2523B">
        <w:rPr>
          <w:sz w:val="22"/>
          <w:szCs w:val="22"/>
        </w:rPr>
        <w:t xml:space="preserve"> </w:t>
      </w:r>
      <w:proofErr w:type="spellStart"/>
      <w:r w:rsidRPr="00C2523B">
        <w:rPr>
          <w:sz w:val="22"/>
          <w:szCs w:val="22"/>
        </w:rPr>
        <w:t>Yamauie</w:t>
      </w:r>
      <w:proofErr w:type="spellEnd"/>
      <w:r w:rsidRPr="00C2523B">
        <w:rPr>
          <w:sz w:val="22"/>
          <w:szCs w:val="22"/>
        </w:rPr>
        <w:t xml:space="preserve"> – matrícula 254 – Assistente Técnico – Aplicação: Administrativo; e,</w:t>
      </w:r>
    </w:p>
    <w:p w14:paraId="2599823B" w14:textId="7AF4288F" w:rsidR="00542990" w:rsidRPr="00481D69" w:rsidRDefault="00C2523B" w:rsidP="00C2523B">
      <w:pPr>
        <w:jc w:val="both"/>
        <w:rPr>
          <w:sz w:val="22"/>
          <w:szCs w:val="22"/>
        </w:rPr>
      </w:pPr>
      <w:r w:rsidRPr="00C2523B">
        <w:rPr>
          <w:sz w:val="22"/>
          <w:szCs w:val="22"/>
        </w:rPr>
        <w:t xml:space="preserve">IV – Romário Wong – matrícula 318 – Supervisor de Área – Aplicação: Processos de </w:t>
      </w:r>
      <w:proofErr w:type="gramStart"/>
      <w:r w:rsidRPr="00C2523B">
        <w:rPr>
          <w:sz w:val="22"/>
          <w:szCs w:val="22"/>
        </w:rPr>
        <w:t>Fiscalização;</w:t>
      </w:r>
      <w:r w:rsidR="00542990">
        <w:rPr>
          <w:sz w:val="22"/>
          <w:szCs w:val="22"/>
        </w:rPr>
        <w:t>”</w:t>
      </w:r>
      <w:proofErr w:type="gramEnd"/>
    </w:p>
    <w:p w14:paraId="0CEE94E3" w14:textId="77777777" w:rsidR="00FC4025" w:rsidRPr="00481D69" w:rsidRDefault="00FC4025" w:rsidP="000C1520">
      <w:pPr>
        <w:jc w:val="both"/>
        <w:rPr>
          <w:sz w:val="22"/>
          <w:szCs w:val="22"/>
        </w:rPr>
      </w:pPr>
    </w:p>
    <w:p w14:paraId="65876898" w14:textId="1A273517" w:rsidR="006737C0" w:rsidRDefault="006737C0" w:rsidP="006737C0">
      <w:pPr>
        <w:jc w:val="both"/>
        <w:rPr>
          <w:sz w:val="22"/>
          <w:szCs w:val="22"/>
        </w:rPr>
      </w:pPr>
      <w:r>
        <w:rPr>
          <w:sz w:val="22"/>
          <w:szCs w:val="22"/>
        </w:rPr>
        <w:t>Art. 2</w:t>
      </w:r>
      <w:r w:rsidRPr="006737C0">
        <w:rPr>
          <w:sz w:val="22"/>
          <w:szCs w:val="22"/>
        </w:rPr>
        <w:t>º Permanecem inalteradas as demais disposições constantes da P</w:t>
      </w:r>
      <w:r>
        <w:rPr>
          <w:sz w:val="22"/>
          <w:szCs w:val="22"/>
        </w:rPr>
        <w:t xml:space="preserve">ortaria Presidencial CAU/SP n.º </w:t>
      </w:r>
      <w:r w:rsidR="00C2523B">
        <w:rPr>
          <w:sz w:val="22"/>
          <w:szCs w:val="22"/>
        </w:rPr>
        <w:t>641</w:t>
      </w:r>
      <w:r w:rsidRPr="006737C0">
        <w:rPr>
          <w:sz w:val="22"/>
          <w:szCs w:val="22"/>
        </w:rPr>
        <w:t xml:space="preserve">, de </w:t>
      </w:r>
      <w:r w:rsidR="00C2523B">
        <w:rPr>
          <w:sz w:val="22"/>
          <w:szCs w:val="22"/>
        </w:rPr>
        <w:t>01</w:t>
      </w:r>
      <w:r w:rsidRPr="006737C0">
        <w:rPr>
          <w:sz w:val="22"/>
          <w:szCs w:val="22"/>
        </w:rPr>
        <w:t xml:space="preserve"> de </w:t>
      </w:r>
      <w:r w:rsidR="00C2523B">
        <w:rPr>
          <w:sz w:val="22"/>
          <w:szCs w:val="22"/>
        </w:rPr>
        <w:t>março</w:t>
      </w:r>
      <w:r w:rsidRPr="006737C0">
        <w:rPr>
          <w:sz w:val="22"/>
          <w:szCs w:val="22"/>
        </w:rPr>
        <w:t xml:space="preserve"> de 2024.</w:t>
      </w:r>
      <w:r w:rsidRPr="006737C0">
        <w:rPr>
          <w:sz w:val="22"/>
          <w:szCs w:val="22"/>
        </w:rPr>
        <w:cr/>
      </w:r>
    </w:p>
    <w:p w14:paraId="59E36FFC" w14:textId="46807169" w:rsidR="00FC4025" w:rsidRPr="00481D69" w:rsidRDefault="006737C0" w:rsidP="006737C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</w:rPr>
        <w:t xml:space="preserve">Art. </w:t>
      </w:r>
      <w:r w:rsidR="00C2523B">
        <w:rPr>
          <w:sz w:val="22"/>
          <w:szCs w:val="22"/>
        </w:rPr>
        <w:t>3</w:t>
      </w:r>
      <w:r w:rsidR="00116C28" w:rsidRPr="00481D69">
        <w:rPr>
          <w:sz w:val="22"/>
          <w:szCs w:val="22"/>
        </w:rPr>
        <w:t>º Esta Portaria entra em vigor na data de sua assinatura.</w:t>
      </w:r>
    </w:p>
    <w:p w14:paraId="054C060B" w14:textId="77777777" w:rsidR="00242D00" w:rsidRPr="00481D69" w:rsidRDefault="00242D00" w:rsidP="000C1520">
      <w:pPr>
        <w:jc w:val="both"/>
        <w:rPr>
          <w:sz w:val="22"/>
          <w:szCs w:val="22"/>
          <w:lang w:eastAsia="pt-BR"/>
        </w:rPr>
      </w:pPr>
    </w:p>
    <w:p w14:paraId="50909243" w14:textId="77777777" w:rsidR="00116C28" w:rsidRPr="00481D69" w:rsidRDefault="00116C28" w:rsidP="000C1520">
      <w:pPr>
        <w:jc w:val="both"/>
        <w:rPr>
          <w:sz w:val="22"/>
          <w:szCs w:val="22"/>
          <w:lang w:eastAsia="pt-BR"/>
        </w:rPr>
      </w:pPr>
    </w:p>
    <w:p w14:paraId="5547EC01" w14:textId="67A2D3A2" w:rsidR="0040720E" w:rsidRPr="00481D69" w:rsidRDefault="0040720E" w:rsidP="000C1520">
      <w:pPr>
        <w:contextualSpacing/>
        <w:jc w:val="center"/>
        <w:rPr>
          <w:sz w:val="22"/>
          <w:szCs w:val="22"/>
        </w:rPr>
      </w:pPr>
      <w:r w:rsidRPr="00481D69">
        <w:rPr>
          <w:sz w:val="22"/>
          <w:szCs w:val="22"/>
        </w:rPr>
        <w:t xml:space="preserve">São Paulo, </w:t>
      </w:r>
      <w:r w:rsidR="00542990">
        <w:rPr>
          <w:sz w:val="22"/>
          <w:szCs w:val="22"/>
        </w:rPr>
        <w:t>07</w:t>
      </w:r>
      <w:r w:rsidRPr="00481D69">
        <w:rPr>
          <w:sz w:val="22"/>
          <w:szCs w:val="22"/>
        </w:rPr>
        <w:t xml:space="preserve"> de </w:t>
      </w:r>
      <w:r w:rsidR="00542990">
        <w:rPr>
          <w:sz w:val="22"/>
          <w:szCs w:val="22"/>
        </w:rPr>
        <w:t>maio</w:t>
      </w:r>
      <w:r w:rsidRPr="00481D69">
        <w:rPr>
          <w:sz w:val="22"/>
          <w:szCs w:val="22"/>
        </w:rPr>
        <w:t xml:space="preserve"> de </w:t>
      </w:r>
      <w:r w:rsidR="00FC4025" w:rsidRPr="00481D69">
        <w:rPr>
          <w:sz w:val="22"/>
          <w:szCs w:val="22"/>
        </w:rPr>
        <w:t>2024</w:t>
      </w:r>
      <w:r w:rsidRPr="00481D69">
        <w:rPr>
          <w:sz w:val="22"/>
          <w:szCs w:val="22"/>
        </w:rPr>
        <w:t>.</w:t>
      </w:r>
    </w:p>
    <w:p w14:paraId="4335D022" w14:textId="77777777" w:rsidR="0040720E" w:rsidRPr="00481D69" w:rsidRDefault="0040720E" w:rsidP="000C1520">
      <w:pPr>
        <w:contextualSpacing/>
        <w:jc w:val="center"/>
        <w:rPr>
          <w:sz w:val="22"/>
          <w:szCs w:val="22"/>
        </w:rPr>
      </w:pPr>
    </w:p>
    <w:p w14:paraId="027E862A" w14:textId="77777777" w:rsidR="00116C28" w:rsidRPr="00481D69" w:rsidRDefault="00116C28" w:rsidP="00116C28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481D69">
        <w:rPr>
          <w:b/>
          <w:bCs/>
          <w:color w:val="000000"/>
          <w:sz w:val="22"/>
          <w:szCs w:val="22"/>
          <w:lang w:eastAsia="pt-BR"/>
        </w:rPr>
        <w:t>Camila Moreno de Camargo</w:t>
      </w:r>
    </w:p>
    <w:p w14:paraId="4AEDBC9E" w14:textId="77777777" w:rsidR="0040720E" w:rsidRPr="00481D69" w:rsidRDefault="0040720E" w:rsidP="00957DC7">
      <w:pPr>
        <w:jc w:val="center"/>
        <w:rPr>
          <w:sz w:val="22"/>
          <w:szCs w:val="22"/>
        </w:rPr>
      </w:pPr>
      <w:r w:rsidRPr="00481D69">
        <w:rPr>
          <w:sz w:val="22"/>
          <w:szCs w:val="22"/>
        </w:rPr>
        <w:t>Presidente do CAU/SP</w:t>
      </w:r>
    </w:p>
    <w:p w14:paraId="1D69DE8E" w14:textId="77777777" w:rsidR="00C63321" w:rsidRPr="00481D69" w:rsidRDefault="00C63321" w:rsidP="00957DC7">
      <w:pPr>
        <w:jc w:val="center"/>
        <w:rPr>
          <w:sz w:val="22"/>
          <w:szCs w:val="22"/>
        </w:rPr>
      </w:pPr>
    </w:p>
    <w:sectPr w:rsidR="00C63321" w:rsidRPr="00481D69" w:rsidSect="00344D0C">
      <w:headerReference w:type="default" r:id="rId11"/>
      <w:footerReference w:type="default" r:id="rId12"/>
      <w:pgSz w:w="11900" w:h="16840"/>
      <w:pgMar w:top="1702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FF002" w14:textId="77777777" w:rsidR="005059A7" w:rsidRDefault="005059A7">
      <w:r>
        <w:separator/>
      </w:r>
    </w:p>
  </w:endnote>
  <w:endnote w:type="continuationSeparator" w:id="0">
    <w:p w14:paraId="7547F092" w14:textId="77777777" w:rsidR="005059A7" w:rsidRDefault="005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5709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4C18573F" wp14:editId="5CD7DB29">
          <wp:extent cx="7559675" cy="499745"/>
          <wp:effectExtent l="0" t="0" r="317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FF947A" wp14:editId="6AEFEB54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123DBA5" wp14:editId="27AE1299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C0C4043" wp14:editId="5D0A2B85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D6C78" w14:textId="77777777" w:rsidR="005059A7" w:rsidRDefault="005059A7">
      <w:r>
        <w:separator/>
      </w:r>
    </w:p>
  </w:footnote>
  <w:footnote w:type="continuationSeparator" w:id="0">
    <w:p w14:paraId="78FCDAEE" w14:textId="77777777" w:rsidR="005059A7" w:rsidRDefault="00505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635F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55D52FDF" wp14:editId="6E9A6AF4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50616E4" wp14:editId="45A8F33B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88066E" wp14:editId="666BAEA8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0CFE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6C28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B3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975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82D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4D0C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1D69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59A7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299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7C0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4ED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4452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438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23B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5558B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5BB1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5A10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025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5609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C77446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1167-B524-4E05-AEA2-D708B998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B1CB2-61E0-4CA7-9F2C-D325EDAD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738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2024-05-08T20:53:00Z</cp:lastPrinted>
  <dcterms:created xsi:type="dcterms:W3CDTF">2024-05-07T19:32:00Z</dcterms:created>
  <dcterms:modified xsi:type="dcterms:W3CDTF">2024-05-08T20:54:00Z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