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2E69BC">
        <w:rPr>
          <w:b/>
          <w:sz w:val="22"/>
          <w:szCs w:val="22"/>
        </w:rPr>
        <w:t>66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2E69BC">
        <w:rPr>
          <w:b/>
          <w:sz w:val="22"/>
          <w:szCs w:val="22"/>
        </w:rPr>
        <w:t>01</w:t>
      </w:r>
      <w:r w:rsidRPr="000C1520">
        <w:rPr>
          <w:b/>
          <w:sz w:val="22"/>
          <w:szCs w:val="22"/>
        </w:rPr>
        <w:t xml:space="preserve"> DE </w:t>
      </w:r>
      <w:r w:rsidR="002E69BC">
        <w:rPr>
          <w:b/>
          <w:sz w:val="22"/>
          <w:szCs w:val="22"/>
        </w:rPr>
        <w:t>ABRIL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C06D9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A13305" w:rsidP="00DC06D9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A13305">
        <w:rPr>
          <w:rFonts w:ascii="Times New Roman" w:hAnsi="Times New Roman" w:cs="Times New Roman"/>
          <w:sz w:val="22"/>
          <w:szCs w:val="22"/>
        </w:rPr>
        <w:t>Prorroga o prazo previsto na Portaria Presidencial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06D9">
        <w:rPr>
          <w:rFonts w:ascii="Times New Roman" w:hAnsi="Times New Roman" w:cs="Times New Roman"/>
          <w:sz w:val="22"/>
          <w:szCs w:val="22"/>
        </w:rPr>
        <w:t>CAU/SP nº 495</w:t>
      </w:r>
      <w:r w:rsidRPr="00A13305">
        <w:rPr>
          <w:rFonts w:ascii="Times New Roman" w:hAnsi="Times New Roman" w:cs="Times New Roman"/>
          <w:sz w:val="22"/>
          <w:szCs w:val="22"/>
        </w:rPr>
        <w:t>, de 1</w:t>
      </w:r>
      <w:r w:rsidR="00DC06D9">
        <w:rPr>
          <w:rFonts w:ascii="Times New Roman" w:hAnsi="Times New Roman" w:cs="Times New Roman"/>
          <w:sz w:val="22"/>
          <w:szCs w:val="22"/>
        </w:rPr>
        <w:t>3</w:t>
      </w:r>
      <w:r w:rsidRPr="00A13305">
        <w:rPr>
          <w:rFonts w:ascii="Times New Roman" w:hAnsi="Times New Roman" w:cs="Times New Roman"/>
          <w:sz w:val="22"/>
          <w:szCs w:val="22"/>
        </w:rPr>
        <w:t xml:space="preserve"> de </w:t>
      </w:r>
      <w:r w:rsidR="00DC06D9">
        <w:rPr>
          <w:rFonts w:ascii="Times New Roman" w:hAnsi="Times New Roman" w:cs="Times New Roman"/>
          <w:sz w:val="22"/>
          <w:szCs w:val="22"/>
        </w:rPr>
        <w:t>fevereiro</w:t>
      </w:r>
      <w:r w:rsidRPr="00A13305">
        <w:rPr>
          <w:rFonts w:ascii="Times New Roman" w:hAnsi="Times New Roman" w:cs="Times New Roman"/>
          <w:sz w:val="22"/>
          <w:szCs w:val="22"/>
        </w:rPr>
        <w:t xml:space="preserve"> de 2023, que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Constitui a Comissão Interna de Prevenção de</w:t>
      </w:r>
      <w:r w:rsidR="00DC06D9"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Acidentes e Assédio – CIPA, no âmbito do</w:t>
      </w:r>
      <w:r w:rsidR="00DC06D9"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Conselho de Arquitetura e Urbanismo de São</w:t>
      </w:r>
      <w:r w:rsidR="00DC06D9"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Paulo – CAU/SP e nomeia seus membros</w:t>
      </w:r>
      <w:r w:rsidR="00C63321" w:rsidRPr="00C63321">
        <w:rPr>
          <w:rFonts w:ascii="Times New Roman" w:hAnsi="Times New Roman" w:cs="Times New Roman"/>
          <w:sz w:val="22"/>
          <w:szCs w:val="22"/>
        </w:rPr>
        <w:t>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242D0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C63321" w:rsidRPr="00C63321" w:rsidRDefault="00C63321" w:rsidP="00242D00">
      <w:pPr>
        <w:jc w:val="both"/>
        <w:rPr>
          <w:sz w:val="22"/>
          <w:szCs w:val="22"/>
        </w:rPr>
      </w:pPr>
    </w:p>
    <w:p w:rsidR="00DC06D9" w:rsidRDefault="00DC06D9" w:rsidP="00DC06D9">
      <w:pPr>
        <w:jc w:val="both"/>
        <w:rPr>
          <w:sz w:val="22"/>
          <w:szCs w:val="22"/>
        </w:rPr>
      </w:pPr>
      <w:r w:rsidRPr="00DC06D9">
        <w:rPr>
          <w:sz w:val="22"/>
          <w:szCs w:val="22"/>
        </w:rPr>
        <w:t>Considerando a obrigatoriedade de constituição da Comissão Interna de Prevenção de Acidentes e</w:t>
      </w:r>
      <w:r>
        <w:rPr>
          <w:sz w:val="22"/>
          <w:szCs w:val="22"/>
        </w:rPr>
        <w:t xml:space="preserve"> </w:t>
      </w:r>
      <w:r w:rsidRPr="00DC06D9">
        <w:rPr>
          <w:sz w:val="22"/>
          <w:szCs w:val="22"/>
        </w:rPr>
        <w:t>Assédio (CIPA), no Conselho de Arquitetura e Urbanismo de São Pa</w:t>
      </w:r>
      <w:r>
        <w:rPr>
          <w:sz w:val="22"/>
          <w:szCs w:val="22"/>
        </w:rPr>
        <w:t xml:space="preserve">ulo (CAU/SP), conforme disposto </w:t>
      </w:r>
      <w:r w:rsidRPr="00DC06D9">
        <w:rPr>
          <w:sz w:val="22"/>
          <w:szCs w:val="22"/>
        </w:rPr>
        <w:t>no art. 163, da Consolidação das Leis do Trabalho;</w:t>
      </w:r>
    </w:p>
    <w:p w:rsidR="00DC06D9" w:rsidRPr="00DC06D9" w:rsidRDefault="00DC06D9" w:rsidP="00DC06D9">
      <w:pPr>
        <w:jc w:val="both"/>
        <w:rPr>
          <w:sz w:val="22"/>
          <w:szCs w:val="22"/>
        </w:rPr>
      </w:pPr>
    </w:p>
    <w:p w:rsidR="00242D00" w:rsidRDefault="00DC06D9" w:rsidP="00DC06D9">
      <w:pPr>
        <w:jc w:val="both"/>
        <w:rPr>
          <w:sz w:val="22"/>
          <w:szCs w:val="22"/>
        </w:rPr>
      </w:pPr>
      <w:r w:rsidRPr="00DC06D9">
        <w:rPr>
          <w:sz w:val="22"/>
          <w:szCs w:val="22"/>
        </w:rPr>
        <w:t xml:space="preserve">Considerando a Norma Regulamentadora nº 05 (NR-5), do Ministério </w:t>
      </w:r>
      <w:r>
        <w:rPr>
          <w:sz w:val="22"/>
          <w:szCs w:val="22"/>
        </w:rPr>
        <w:t xml:space="preserve">do Trabalho de Previdência, que </w:t>
      </w:r>
      <w:r w:rsidRPr="00DC06D9">
        <w:rPr>
          <w:sz w:val="22"/>
          <w:szCs w:val="22"/>
        </w:rPr>
        <w:t>estabelece os parâmetros e requisitos da Comissão Interna de P</w:t>
      </w:r>
      <w:r>
        <w:rPr>
          <w:sz w:val="22"/>
          <w:szCs w:val="22"/>
        </w:rPr>
        <w:t xml:space="preserve">revenção de Acidentes e Assédio </w:t>
      </w:r>
      <w:r w:rsidRPr="00DC06D9">
        <w:rPr>
          <w:sz w:val="22"/>
          <w:szCs w:val="22"/>
        </w:rPr>
        <w:t>(CIPA);</w:t>
      </w:r>
      <w:r w:rsidRPr="00DC06D9">
        <w:rPr>
          <w:sz w:val="22"/>
          <w:szCs w:val="22"/>
        </w:rPr>
        <w:cr/>
      </w:r>
    </w:p>
    <w:p w:rsidR="00DC06D9" w:rsidRDefault="00DC06D9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necessidade de novas eleições nos moldes da Norma </w:t>
      </w:r>
      <w:r w:rsidRPr="00DC06D9">
        <w:rPr>
          <w:sz w:val="22"/>
          <w:szCs w:val="22"/>
        </w:rPr>
        <w:t>Regulamentadora nº 05 (NR-5)</w:t>
      </w:r>
      <w:r>
        <w:rPr>
          <w:sz w:val="22"/>
          <w:szCs w:val="22"/>
        </w:rPr>
        <w:t>, para composição de nova Comissão Interna de Prevenção de Acidentes e Assédio – CIPA; e,</w:t>
      </w:r>
    </w:p>
    <w:p w:rsidR="00DC06D9" w:rsidRDefault="00DC06D9" w:rsidP="00242D00">
      <w:pPr>
        <w:jc w:val="both"/>
        <w:rPr>
          <w:sz w:val="22"/>
          <w:szCs w:val="22"/>
        </w:rPr>
      </w:pPr>
    </w:p>
    <w:p w:rsidR="002E69BC" w:rsidRDefault="002E69BC" w:rsidP="00242D00">
      <w:pPr>
        <w:jc w:val="both"/>
        <w:rPr>
          <w:sz w:val="22"/>
          <w:szCs w:val="22"/>
        </w:rPr>
      </w:pPr>
      <w:r w:rsidRPr="002E69BC">
        <w:rPr>
          <w:sz w:val="22"/>
          <w:szCs w:val="22"/>
        </w:rPr>
        <w:t>Considerando o Processo SEI 00179.000836/2024-58, que trata do Processo Eleitoral para composição da CIPA 2024/2025</w:t>
      </w:r>
      <w:r>
        <w:rPr>
          <w:sz w:val="22"/>
          <w:szCs w:val="22"/>
        </w:rPr>
        <w:t>;</w:t>
      </w:r>
    </w:p>
    <w:p w:rsidR="002E69BC" w:rsidRDefault="002E69BC" w:rsidP="00242D00">
      <w:pPr>
        <w:jc w:val="both"/>
        <w:rPr>
          <w:sz w:val="22"/>
          <w:szCs w:val="22"/>
        </w:rPr>
      </w:pPr>
    </w:p>
    <w:p w:rsidR="002E69BC" w:rsidRDefault="002E69BC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que a Portaria Presidencial CAU/SP nº 633/2024, que p</w:t>
      </w:r>
      <w:r w:rsidRPr="002E69BC">
        <w:rPr>
          <w:sz w:val="22"/>
          <w:szCs w:val="22"/>
        </w:rPr>
        <w:t>rorroga o prazo previsto na Portaria Presidencial CAU/SP nº 495, de 13 de fevereiro de 2023, que Constitui a Comissão Interna de Prevenção de Acidentes e Assédio – CIPA, no âmbito do Conselho de Arquitetura e Urbanismo de São Paulo – CAU/SP e nomeia seus membros</w:t>
      </w:r>
      <w:r>
        <w:rPr>
          <w:sz w:val="22"/>
          <w:szCs w:val="22"/>
        </w:rPr>
        <w:t>, revogou-se em 31 de março de 2024, conforme consta no seu artigo 3º.</w:t>
      </w:r>
    </w:p>
    <w:p w:rsidR="002E69BC" w:rsidRDefault="002E69BC" w:rsidP="00242D00">
      <w:pPr>
        <w:jc w:val="both"/>
        <w:rPr>
          <w:sz w:val="22"/>
          <w:szCs w:val="22"/>
        </w:rPr>
      </w:pPr>
    </w:p>
    <w:p w:rsidR="00242D00" w:rsidRDefault="0096171B" w:rsidP="00242D00">
      <w:pPr>
        <w:rPr>
          <w:sz w:val="22"/>
          <w:szCs w:val="22"/>
        </w:rPr>
      </w:pPr>
      <w:r>
        <w:rPr>
          <w:sz w:val="22"/>
          <w:szCs w:val="22"/>
        </w:rPr>
        <w:t>Considerando a justificativa para prorrogação, conforme Memorando (01</w:t>
      </w:r>
      <w:r w:rsidR="002E69BC">
        <w:rPr>
          <w:sz w:val="22"/>
          <w:szCs w:val="22"/>
        </w:rPr>
        <w:t>97756</w:t>
      </w:r>
      <w:r>
        <w:rPr>
          <w:sz w:val="22"/>
          <w:szCs w:val="22"/>
        </w:rPr>
        <w:t>) dos autos do Processo SEI 00179.00000221/2022-51.</w:t>
      </w:r>
    </w:p>
    <w:p w:rsidR="0096171B" w:rsidRDefault="0096171B" w:rsidP="00242D00">
      <w:pPr>
        <w:rPr>
          <w:sz w:val="22"/>
          <w:szCs w:val="22"/>
        </w:rPr>
      </w:pPr>
    </w:p>
    <w:p w:rsidR="0096171B" w:rsidRPr="00242D00" w:rsidRDefault="0096171B" w:rsidP="00242D00">
      <w:pPr>
        <w:rPr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96171B" w:rsidRDefault="0040720E" w:rsidP="000C1520">
      <w:pPr>
        <w:rPr>
          <w:sz w:val="22"/>
          <w:szCs w:val="22"/>
        </w:rPr>
      </w:pPr>
    </w:p>
    <w:p w:rsidR="0096171B" w:rsidRPr="0096171B" w:rsidRDefault="0096171B" w:rsidP="000C1520">
      <w:pPr>
        <w:rPr>
          <w:sz w:val="22"/>
          <w:szCs w:val="22"/>
        </w:rPr>
      </w:pPr>
    </w:p>
    <w:p w:rsidR="00DC06D9" w:rsidRDefault="00242D00" w:rsidP="00DC06D9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>Art. 1º Prorrogar</w:t>
      </w:r>
      <w:r w:rsidR="00DC06D9">
        <w:rPr>
          <w:sz w:val="22"/>
          <w:szCs w:val="22"/>
        </w:rPr>
        <w:t xml:space="preserve"> até </w:t>
      </w:r>
      <w:r w:rsidR="002E69BC">
        <w:rPr>
          <w:sz w:val="22"/>
          <w:szCs w:val="22"/>
        </w:rPr>
        <w:t>14</w:t>
      </w:r>
      <w:r w:rsidR="00DC06D9">
        <w:rPr>
          <w:sz w:val="22"/>
          <w:szCs w:val="22"/>
        </w:rPr>
        <w:t xml:space="preserve"> de </w:t>
      </w:r>
      <w:r w:rsidR="002E69BC">
        <w:rPr>
          <w:sz w:val="22"/>
          <w:szCs w:val="22"/>
        </w:rPr>
        <w:t>maio</w:t>
      </w:r>
      <w:r w:rsidR="00DC06D9">
        <w:rPr>
          <w:sz w:val="22"/>
          <w:szCs w:val="22"/>
        </w:rPr>
        <w:t xml:space="preserve"> de 2024 a </w:t>
      </w:r>
      <w:r w:rsidR="00DC06D9" w:rsidRPr="00DC06D9">
        <w:rPr>
          <w:sz w:val="22"/>
          <w:szCs w:val="22"/>
        </w:rPr>
        <w:t>Comissão Interna de Prevenção de</w:t>
      </w:r>
      <w:r w:rsidR="00DC06D9">
        <w:rPr>
          <w:sz w:val="22"/>
          <w:szCs w:val="22"/>
        </w:rPr>
        <w:t xml:space="preserve"> </w:t>
      </w:r>
      <w:r w:rsidR="00DC06D9" w:rsidRPr="00DC06D9">
        <w:rPr>
          <w:sz w:val="22"/>
          <w:szCs w:val="22"/>
        </w:rPr>
        <w:t>Acidentes e Assédio – CIPA</w:t>
      </w:r>
      <w:r w:rsidR="00DC06D9">
        <w:rPr>
          <w:sz w:val="22"/>
          <w:szCs w:val="22"/>
        </w:rPr>
        <w:t xml:space="preserve"> no âmbito do Conselho de Arquitetura e Urbanismo – CAU/SP, para condução de nova </w:t>
      </w:r>
      <w:r w:rsidR="00DC06D9" w:rsidRPr="00DC06D9">
        <w:rPr>
          <w:sz w:val="22"/>
          <w:szCs w:val="22"/>
        </w:rPr>
        <w:t xml:space="preserve">eleição nos moldes da Norma Regulamentadora </w:t>
      </w:r>
      <w:r w:rsidR="00DC06D9">
        <w:rPr>
          <w:sz w:val="22"/>
          <w:szCs w:val="22"/>
        </w:rPr>
        <w:t>nº 0</w:t>
      </w:r>
      <w:r w:rsidR="00DC06D9" w:rsidRPr="00DC06D9">
        <w:rPr>
          <w:sz w:val="22"/>
          <w:szCs w:val="22"/>
        </w:rPr>
        <w:t>5</w:t>
      </w:r>
      <w:r w:rsidR="00DC06D9">
        <w:rPr>
          <w:sz w:val="22"/>
          <w:szCs w:val="22"/>
        </w:rPr>
        <w:t xml:space="preserve"> (NR-5).</w:t>
      </w:r>
    </w:p>
    <w:p w:rsidR="00DC06D9" w:rsidRDefault="00DC06D9" w:rsidP="00242D00">
      <w:pPr>
        <w:jc w:val="both"/>
        <w:rPr>
          <w:sz w:val="22"/>
          <w:szCs w:val="22"/>
        </w:rPr>
      </w:pPr>
    </w:p>
    <w:p w:rsidR="00242D00" w:rsidRPr="00242D00" w:rsidRDefault="00242D00" w:rsidP="00242D00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>Art. 2º Permanecem inalteradas as demais disposições constantes da Portaria Presidencial CAU/SP nº</w:t>
      </w:r>
    </w:p>
    <w:p w:rsidR="00242D00" w:rsidRPr="00242D00" w:rsidRDefault="00DC06D9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>495</w:t>
      </w:r>
      <w:r w:rsidR="00242D00" w:rsidRPr="00242D00">
        <w:rPr>
          <w:sz w:val="22"/>
          <w:szCs w:val="22"/>
        </w:rPr>
        <w:t xml:space="preserve">, de </w:t>
      </w:r>
      <w:r w:rsidR="00242D0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242D00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="00242D00" w:rsidRPr="00242D00">
        <w:rPr>
          <w:sz w:val="22"/>
          <w:szCs w:val="22"/>
        </w:rPr>
        <w:t xml:space="preserve"> de 202</w:t>
      </w:r>
      <w:r w:rsidR="00242D00">
        <w:rPr>
          <w:sz w:val="22"/>
          <w:szCs w:val="22"/>
        </w:rPr>
        <w:t>3.</w:t>
      </w:r>
    </w:p>
    <w:p w:rsidR="00242D00" w:rsidRPr="00242D00" w:rsidRDefault="00242D00" w:rsidP="00242D00">
      <w:pPr>
        <w:jc w:val="both"/>
        <w:rPr>
          <w:sz w:val="22"/>
          <w:szCs w:val="22"/>
        </w:rPr>
      </w:pPr>
    </w:p>
    <w:p w:rsidR="00DC06D9" w:rsidRPr="00C63321" w:rsidRDefault="00242D00" w:rsidP="00DC06D9">
      <w:pPr>
        <w:jc w:val="both"/>
        <w:rPr>
          <w:sz w:val="22"/>
        </w:rPr>
      </w:pPr>
      <w:r w:rsidRPr="00242D00">
        <w:rPr>
          <w:sz w:val="22"/>
          <w:szCs w:val="22"/>
        </w:rPr>
        <w:t>Art. 3º Esta Portaria entra em vigor na data de sua publicação</w:t>
      </w:r>
      <w:r w:rsidR="00DC06D9">
        <w:rPr>
          <w:sz w:val="22"/>
          <w:szCs w:val="22"/>
        </w:rPr>
        <w:t xml:space="preserve">, </w:t>
      </w:r>
      <w:r w:rsidR="00DC06D9" w:rsidRPr="00C63321">
        <w:rPr>
          <w:sz w:val="22"/>
        </w:rPr>
        <w:t>revogando-se automaticamente ao término do prazo de substituição de que trata o art. 1º.</w:t>
      </w:r>
    </w:p>
    <w:p w:rsidR="00C63321" w:rsidRDefault="00C63321" w:rsidP="000C1520">
      <w:pPr>
        <w:jc w:val="both"/>
        <w:rPr>
          <w:sz w:val="22"/>
          <w:szCs w:val="22"/>
          <w:lang w:eastAsia="pt-BR"/>
        </w:rPr>
      </w:pPr>
    </w:p>
    <w:p w:rsidR="00242D00" w:rsidRPr="00242D00" w:rsidRDefault="00242D00" w:rsidP="000C1520">
      <w:pPr>
        <w:jc w:val="both"/>
        <w:rPr>
          <w:sz w:val="22"/>
          <w:szCs w:val="22"/>
          <w:lang w:eastAsia="pt-BR"/>
        </w:rPr>
      </w:pP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  <w:r w:rsidRPr="00242D00">
        <w:rPr>
          <w:sz w:val="22"/>
          <w:szCs w:val="22"/>
        </w:rPr>
        <w:t xml:space="preserve">São Paulo, </w:t>
      </w:r>
      <w:r w:rsidR="002E69BC">
        <w:rPr>
          <w:sz w:val="22"/>
          <w:szCs w:val="22"/>
        </w:rPr>
        <w:t>01</w:t>
      </w:r>
      <w:r w:rsidRPr="00242D00">
        <w:rPr>
          <w:sz w:val="22"/>
          <w:szCs w:val="22"/>
        </w:rPr>
        <w:t xml:space="preserve"> de </w:t>
      </w:r>
      <w:r w:rsidR="002E69BC">
        <w:rPr>
          <w:sz w:val="22"/>
          <w:szCs w:val="22"/>
        </w:rPr>
        <w:t>abril</w:t>
      </w:r>
      <w:bookmarkStart w:id="1" w:name="_GoBack"/>
      <w:bookmarkEnd w:id="1"/>
      <w:r w:rsidRPr="00242D00">
        <w:rPr>
          <w:sz w:val="22"/>
          <w:szCs w:val="22"/>
        </w:rPr>
        <w:t xml:space="preserve"> de 202</w:t>
      </w:r>
      <w:r w:rsidR="00DC06D9">
        <w:rPr>
          <w:sz w:val="22"/>
          <w:szCs w:val="22"/>
        </w:rPr>
        <w:t>4</w:t>
      </w:r>
      <w:r w:rsidRPr="00242D00">
        <w:rPr>
          <w:sz w:val="22"/>
          <w:szCs w:val="22"/>
        </w:rPr>
        <w:t>.</w:t>
      </w: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</w:p>
    <w:p w:rsidR="00DC06D9" w:rsidRPr="002935C4" w:rsidRDefault="00DC06D9" w:rsidP="00DC06D9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lastRenderedPageBreak/>
        <w:t>Camila Moreno de Camargo</w:t>
      </w:r>
    </w:p>
    <w:p w:rsidR="00DC06D9" w:rsidRDefault="00DC06D9" w:rsidP="00DC06D9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C63321" w:rsidRDefault="00C63321" w:rsidP="00DC06D9">
      <w:pPr>
        <w:jc w:val="center"/>
        <w:rPr>
          <w:sz w:val="22"/>
          <w:szCs w:val="22"/>
        </w:rPr>
      </w:pPr>
    </w:p>
    <w:sectPr w:rsidR="00C63321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A6" w:rsidRDefault="009A34A6">
      <w:r>
        <w:separator/>
      </w:r>
    </w:p>
  </w:endnote>
  <w:endnote w:type="continuationSeparator" w:id="0">
    <w:p w:rsidR="009A34A6" w:rsidRDefault="009A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A6" w:rsidRDefault="009A34A6">
      <w:r>
        <w:separator/>
      </w:r>
    </w:p>
  </w:footnote>
  <w:footnote w:type="continuationSeparator" w:id="0">
    <w:p w:rsidR="009A34A6" w:rsidRDefault="009A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6879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69BC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171B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4A6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483A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042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6D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DFEB9B0E-9617-4934-AB3F-B989472C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2024-04-01T20:23:00Z</dcterms:created>
  <dcterms:modified xsi:type="dcterms:W3CDTF">2024-04-01T20:26:00Z</dcterms:modified>
</cp:coreProperties>
</file>