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472DF6">
        <w:rPr>
          <w:rFonts w:ascii="Times New Roman" w:hAnsi="Times New Roman"/>
          <w:b/>
          <w:bCs/>
        </w:rPr>
        <w:t>116</w:t>
      </w:r>
      <w:r w:rsidRPr="004A3310">
        <w:rPr>
          <w:rFonts w:ascii="Times New Roman" w:hAnsi="Times New Roman"/>
          <w:b/>
          <w:bCs/>
        </w:rPr>
        <w:t xml:space="preserve">, DE </w:t>
      </w:r>
      <w:r w:rsidR="00472DF6">
        <w:rPr>
          <w:rFonts w:ascii="Times New Roman" w:hAnsi="Times New Roman"/>
          <w:b/>
          <w:bCs/>
        </w:rPr>
        <w:t>1</w:t>
      </w:r>
      <w:r w:rsidR="00682A49">
        <w:rPr>
          <w:rFonts w:ascii="Times New Roman" w:hAnsi="Times New Roman"/>
          <w:b/>
          <w:bCs/>
        </w:rPr>
        <w:t>8</w:t>
      </w:r>
      <w:r w:rsidR="00D57A52">
        <w:rPr>
          <w:rFonts w:ascii="Times New Roman" w:hAnsi="Times New Roman"/>
          <w:b/>
          <w:bCs/>
        </w:rPr>
        <w:t xml:space="preserve"> DE </w:t>
      </w:r>
      <w:r w:rsidR="00472DF6">
        <w:rPr>
          <w:rFonts w:ascii="Times New Roman" w:hAnsi="Times New Roman"/>
          <w:b/>
          <w:bCs/>
        </w:rPr>
        <w:t>ABRIL</w:t>
      </w:r>
      <w:r w:rsidRPr="004A3310">
        <w:rPr>
          <w:rFonts w:ascii="Times New Roman" w:hAnsi="Times New Roman"/>
          <w:b/>
          <w:bCs/>
        </w:rPr>
        <w:t xml:space="preserve"> DE 201</w:t>
      </w:r>
      <w:r w:rsidR="00472DF6">
        <w:rPr>
          <w:rFonts w:ascii="Times New Roman" w:hAnsi="Times New Roman"/>
          <w:b/>
          <w:bCs/>
        </w:rPr>
        <w:t>9</w:t>
      </w:r>
      <w:r w:rsidRPr="004A3310">
        <w:rPr>
          <w:rFonts w:ascii="Times New Roman" w:hAnsi="Times New Roman"/>
          <w:b/>
          <w:bCs/>
        </w:rPr>
        <w:t>.</w:t>
      </w:r>
    </w:p>
    <w:p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0F560F" w:rsidRPr="004A3310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0F560F" w:rsidRPr="004A3310" w:rsidRDefault="00682A49" w:rsidP="00F354E6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Prorroga a vigência da Portaria Presidencia</w:t>
      </w:r>
      <w:r w:rsidR="00472DF6">
        <w:rPr>
          <w:rFonts w:ascii="Times New Roman" w:hAnsi="Times New Roman" w:cs="Times New Roman"/>
          <w:sz w:val="22"/>
          <w:szCs w:val="22"/>
        </w:rPr>
        <w:t>l</w:t>
      </w:r>
      <w:r>
        <w:rPr>
          <w:rFonts w:ascii="Times New Roman" w:hAnsi="Times New Roman" w:cs="Times New Roman"/>
          <w:sz w:val="22"/>
          <w:szCs w:val="22"/>
        </w:rPr>
        <w:t xml:space="preserve"> CAU/SP nº </w:t>
      </w:r>
      <w:r w:rsidR="00472DF6">
        <w:rPr>
          <w:rFonts w:ascii="Times New Roman" w:hAnsi="Times New Roman" w:cs="Times New Roman"/>
          <w:sz w:val="22"/>
          <w:szCs w:val="22"/>
        </w:rPr>
        <w:t>101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472DF6">
        <w:rPr>
          <w:rFonts w:ascii="Times New Roman" w:hAnsi="Times New Roman" w:cs="Times New Roman"/>
          <w:sz w:val="22"/>
          <w:szCs w:val="22"/>
        </w:rPr>
        <w:t>20</w:t>
      </w:r>
      <w:r>
        <w:rPr>
          <w:rFonts w:ascii="Times New Roman" w:hAnsi="Times New Roman" w:cs="Times New Roman"/>
          <w:sz w:val="22"/>
          <w:szCs w:val="22"/>
        </w:rPr>
        <w:t xml:space="preserve"> de </w:t>
      </w:r>
      <w:r w:rsidR="00472DF6">
        <w:rPr>
          <w:rFonts w:ascii="Times New Roman" w:hAnsi="Times New Roman" w:cs="Times New Roman"/>
          <w:sz w:val="22"/>
          <w:szCs w:val="22"/>
        </w:rPr>
        <w:t>fevereiro</w:t>
      </w:r>
      <w:r>
        <w:rPr>
          <w:rFonts w:ascii="Times New Roman" w:hAnsi="Times New Roman" w:cs="Times New Roman"/>
          <w:sz w:val="22"/>
          <w:szCs w:val="22"/>
        </w:rPr>
        <w:t xml:space="preserve"> de 201</w:t>
      </w:r>
      <w:r w:rsidR="00472DF6">
        <w:rPr>
          <w:rFonts w:ascii="Times New Roman" w:hAnsi="Times New Roman" w:cs="Times New Roman"/>
          <w:sz w:val="22"/>
          <w:szCs w:val="22"/>
        </w:rPr>
        <w:t>9, alterada pela Portaria Presidencial CAU/SP nº 109, de 26 de março de 2019,</w:t>
      </w:r>
      <w:r>
        <w:rPr>
          <w:rFonts w:ascii="Times New Roman" w:hAnsi="Times New Roman" w:cs="Times New Roman"/>
          <w:sz w:val="22"/>
          <w:szCs w:val="22"/>
        </w:rPr>
        <w:t xml:space="preserve"> que </w:t>
      </w:r>
      <w:r w:rsidR="00472DF6">
        <w:rPr>
          <w:rFonts w:ascii="Times New Roman" w:hAnsi="Times New Roman" w:cs="Times New Roman"/>
          <w:sz w:val="22"/>
          <w:szCs w:val="22"/>
        </w:rPr>
        <w:t xml:space="preserve">recompôs o </w:t>
      </w:r>
      <w:r w:rsidR="000E3AA8" w:rsidRPr="000E3AA8">
        <w:rPr>
          <w:rFonts w:ascii="Times New Roman" w:hAnsi="Times New Roman" w:cs="Times New Roman"/>
          <w:sz w:val="22"/>
          <w:szCs w:val="22"/>
        </w:rPr>
        <w:t xml:space="preserve">Grupo de Trabalho </w:t>
      </w:r>
      <w:r w:rsidR="00472DF6">
        <w:rPr>
          <w:rFonts w:ascii="Times New Roman" w:hAnsi="Times New Roman" w:cs="Times New Roman"/>
          <w:sz w:val="22"/>
          <w:szCs w:val="22"/>
        </w:rPr>
        <w:t>para a realização de estudos acerca das necessidades de infraestrutura interna do Conselho de Arquitetura e</w:t>
      </w:r>
      <w:r w:rsidR="00515556">
        <w:rPr>
          <w:rFonts w:ascii="Times New Roman" w:hAnsi="Times New Roman" w:cs="Times New Roman"/>
          <w:sz w:val="22"/>
          <w:szCs w:val="22"/>
        </w:rPr>
        <w:t xml:space="preserve"> Urbanismo de São Paulo – CAU/SP</w:t>
      </w:r>
      <w:r w:rsidR="00472DF6">
        <w:rPr>
          <w:rFonts w:ascii="Times New Roman" w:hAnsi="Times New Roman" w:cs="Times New Roman"/>
          <w:sz w:val="22"/>
          <w:szCs w:val="22"/>
        </w:rPr>
        <w:t>.</w:t>
      </w:r>
    </w:p>
    <w:p w:rsidR="004A3310" w:rsidRDefault="004A3310" w:rsidP="004A331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72DF6" w:rsidRPr="004A3310" w:rsidRDefault="00472DF6" w:rsidP="004A331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  <w:r w:rsidRPr="00F60DC0">
        <w:rPr>
          <w:rFonts w:ascii="Times New Roman" w:hAnsi="Times New Roman"/>
        </w:rPr>
        <w:t>O Presidente do Conselho de Arqui</w:t>
      </w:r>
      <w:r w:rsidR="00F354E6">
        <w:rPr>
          <w:rFonts w:ascii="Times New Roman" w:hAnsi="Times New Roman"/>
        </w:rPr>
        <w:t xml:space="preserve">tetura e Urbanismo de São Paulo – </w:t>
      </w:r>
      <w:r w:rsidRPr="00F60DC0">
        <w:rPr>
          <w:rFonts w:ascii="Times New Roman" w:hAnsi="Times New Roman"/>
        </w:rPr>
        <w:t xml:space="preserve">CAU/SP, no uso das atribuições </w:t>
      </w:r>
      <w:r w:rsidRPr="00F354E6">
        <w:rPr>
          <w:rFonts w:ascii="Times New Roman" w:hAnsi="Times New Roman"/>
        </w:rPr>
        <w:t>legais previstas no artigo 35, inciso III, da Lei nº 12.378/2010 e</w:t>
      </w:r>
      <w:r w:rsidR="00F354E6">
        <w:rPr>
          <w:rFonts w:ascii="Times New Roman" w:hAnsi="Times New Roman"/>
        </w:rPr>
        <w:t>,</w:t>
      </w:r>
      <w:r w:rsidRPr="00F354E6">
        <w:rPr>
          <w:rFonts w:ascii="Times New Roman" w:hAnsi="Times New Roman"/>
        </w:rPr>
        <w:t xml:space="preserve"> com fundamento nas disposições</w:t>
      </w:r>
      <w:r w:rsidRPr="00F60DC0">
        <w:rPr>
          <w:rFonts w:ascii="Times New Roman" w:hAnsi="Times New Roman"/>
        </w:rPr>
        <w:t xml:space="preserve"> </w:t>
      </w:r>
      <w:r w:rsidRPr="00F354E6">
        <w:rPr>
          <w:rFonts w:ascii="Times New Roman" w:hAnsi="Times New Roman"/>
        </w:rPr>
        <w:t>contidas no</w:t>
      </w:r>
      <w:r w:rsidR="00F354E6" w:rsidRPr="00F354E6">
        <w:rPr>
          <w:rFonts w:ascii="Times New Roman" w:hAnsi="Times New Roman"/>
        </w:rPr>
        <w:t>s</w:t>
      </w:r>
      <w:r w:rsidRPr="00F354E6">
        <w:rPr>
          <w:rFonts w:ascii="Times New Roman" w:hAnsi="Times New Roman"/>
        </w:rPr>
        <w:t xml:space="preserve"> artigo</w:t>
      </w:r>
      <w:r w:rsidR="00F354E6" w:rsidRPr="00F354E6">
        <w:rPr>
          <w:rFonts w:ascii="Times New Roman" w:hAnsi="Times New Roman"/>
        </w:rPr>
        <w:t>s</w:t>
      </w:r>
      <w:r w:rsidRPr="00F354E6">
        <w:rPr>
          <w:rFonts w:ascii="Times New Roman" w:hAnsi="Times New Roman"/>
        </w:rPr>
        <w:t xml:space="preserve"> </w:t>
      </w:r>
      <w:r w:rsidR="00CD5D9A" w:rsidRPr="00F354E6">
        <w:rPr>
          <w:rFonts w:ascii="Times New Roman" w:hAnsi="Times New Roman"/>
        </w:rPr>
        <w:t xml:space="preserve">10 </w:t>
      </w:r>
      <w:r w:rsidR="00F354E6" w:rsidRPr="00F354E6">
        <w:rPr>
          <w:rFonts w:ascii="Times New Roman" w:hAnsi="Times New Roman"/>
        </w:rPr>
        <w:t xml:space="preserve">e </w:t>
      </w:r>
      <w:r w:rsidRPr="00F354E6">
        <w:rPr>
          <w:rFonts w:ascii="Times New Roman" w:hAnsi="Times New Roman"/>
        </w:rPr>
        <w:t xml:space="preserve">155 </w:t>
      </w:r>
      <w:r w:rsidR="00F354E6" w:rsidRPr="00F354E6">
        <w:rPr>
          <w:rFonts w:ascii="Times New Roman" w:hAnsi="Times New Roman"/>
        </w:rPr>
        <w:t>d</w:t>
      </w:r>
      <w:r w:rsidRPr="00F354E6">
        <w:rPr>
          <w:rFonts w:ascii="Times New Roman" w:hAnsi="Times New Roman"/>
        </w:rPr>
        <w:t>o Regimento Interno do CAU/SP, e ainda</w:t>
      </w: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Portaria Presidencial CAU/SP nº 101, de 20 de fevereiro de 2019, que recompôs o </w:t>
      </w:r>
      <w:r w:rsidRPr="000E3AA8">
        <w:rPr>
          <w:rFonts w:ascii="Times New Roman" w:hAnsi="Times New Roman"/>
        </w:rPr>
        <w:t xml:space="preserve">Grupo de Trabalho </w:t>
      </w:r>
      <w:r>
        <w:rPr>
          <w:rFonts w:ascii="Times New Roman" w:hAnsi="Times New Roman"/>
        </w:rPr>
        <w:t xml:space="preserve">para a realização de estudos acerca das necessidades de infraestrutura interna do Conselho de Arquitetura e Urbanismo de São Paulo – CAU/SP, </w:t>
      </w:r>
      <w:r w:rsidRPr="00F60DC0">
        <w:rPr>
          <w:rFonts w:ascii="Times New Roman" w:hAnsi="Times New Roman"/>
        </w:rPr>
        <w:t>para continuidade dos estudos iniciados pelo Grupo de Trabalho nomeado por meio da Portaria Presidencial CAU/SP nº 80, de 10 de dezembro de 2018</w:t>
      </w:r>
      <w:r>
        <w:rPr>
          <w:rFonts w:ascii="Times New Roman" w:hAnsi="Times New Roman"/>
        </w:rPr>
        <w:t>;</w:t>
      </w: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nº 109, de 26 de março de 2019, que a</w:t>
      </w:r>
      <w:r w:rsidRPr="00F60DC0">
        <w:rPr>
          <w:rFonts w:ascii="Times New Roman" w:hAnsi="Times New Roman"/>
        </w:rPr>
        <w:t>lter</w:t>
      </w:r>
      <w:r>
        <w:rPr>
          <w:rFonts w:ascii="Times New Roman" w:hAnsi="Times New Roman"/>
        </w:rPr>
        <w:t>ou</w:t>
      </w:r>
      <w:r w:rsidRPr="00F60DC0">
        <w:rPr>
          <w:rFonts w:ascii="Times New Roman" w:hAnsi="Times New Roman"/>
        </w:rPr>
        <w:t xml:space="preserve"> o art. 2º e parágrafo único da Portaria Presidencial CAU/SP n.º 101, de 20 de fevereiro de 2019</w:t>
      </w:r>
      <w:r>
        <w:rPr>
          <w:rFonts w:ascii="Times New Roman" w:hAnsi="Times New Roman"/>
        </w:rPr>
        <w:t>;</w:t>
      </w: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 o prazo para finalização dos trabalhos previsto</w:t>
      </w:r>
      <w:r w:rsidR="00CD5D9A">
        <w:rPr>
          <w:rFonts w:ascii="Times New Roman" w:hAnsi="Times New Roman"/>
        </w:rPr>
        <w:t xml:space="preserve"> no art. 5º</w:t>
      </w:r>
      <w:r>
        <w:rPr>
          <w:rFonts w:ascii="Times New Roman" w:hAnsi="Times New Roman"/>
        </w:rPr>
        <w:t xml:space="preserve"> </w:t>
      </w:r>
      <w:r w:rsidR="00CD5D9A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a Portaria Presidencial CAU/SP nº 101, de 20 de fevereiro de 2019, se encerrará </w:t>
      </w:r>
      <w:r w:rsidRPr="00CD5D9A">
        <w:rPr>
          <w:rFonts w:ascii="Times New Roman" w:hAnsi="Times New Roman"/>
        </w:rPr>
        <w:t>em 2</w:t>
      </w:r>
      <w:r w:rsidR="00CD5D9A" w:rsidRPr="00CD5D9A">
        <w:rPr>
          <w:rFonts w:ascii="Times New Roman" w:hAnsi="Times New Roman"/>
        </w:rPr>
        <w:t>0</w:t>
      </w:r>
      <w:r w:rsidRPr="00CD5D9A">
        <w:rPr>
          <w:rFonts w:ascii="Times New Roman" w:hAnsi="Times New Roman"/>
        </w:rPr>
        <w:t xml:space="preserve"> de abril de 2019</w:t>
      </w:r>
      <w:r>
        <w:rPr>
          <w:rFonts w:ascii="Times New Roman" w:hAnsi="Times New Roman"/>
        </w:rPr>
        <w:t>;</w:t>
      </w: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CD5D9A">
        <w:rPr>
          <w:rFonts w:ascii="Times New Roman" w:hAnsi="Times New Roman"/>
        </w:rPr>
        <w:t xml:space="preserve">a solicitação de prorrogação do prazo de atuação do Grupo de Trabalho, por meio do Memorando CAU/SP-RH nº 076/2019, constante do </w:t>
      </w:r>
      <w:r>
        <w:rPr>
          <w:rFonts w:ascii="Times New Roman" w:hAnsi="Times New Roman"/>
        </w:rPr>
        <w:t>Processo de Instauração de Grupo de Trabalho nº 008/2018</w:t>
      </w:r>
      <w:r w:rsidR="00CD5D9A">
        <w:rPr>
          <w:rFonts w:ascii="Times New Roman" w:hAnsi="Times New Roman"/>
        </w:rPr>
        <w:t>, aberto em 15 de outubro de 2018</w:t>
      </w:r>
      <w:r>
        <w:rPr>
          <w:rFonts w:ascii="Times New Roman" w:hAnsi="Times New Roman"/>
        </w:rPr>
        <w:t>;</w:t>
      </w:r>
    </w:p>
    <w:p w:rsidR="00F60DC0" w:rsidRDefault="00F60DC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0E3AA8" w:rsidP="00F26AEC">
      <w:pPr>
        <w:spacing w:after="0" w:line="240" w:lineRule="auto"/>
        <w:jc w:val="both"/>
        <w:rPr>
          <w:color w:val="000000"/>
        </w:rPr>
      </w:pPr>
      <w:r w:rsidRPr="000E3AA8">
        <w:rPr>
          <w:rFonts w:ascii="Times New Roman" w:hAnsi="Times New Roman"/>
        </w:rPr>
        <w:t xml:space="preserve">Art. 1º </w:t>
      </w:r>
      <w:r w:rsidR="00F354E6">
        <w:rPr>
          <w:rFonts w:ascii="Times New Roman" w:hAnsi="Times New Roman"/>
        </w:rPr>
        <w:t xml:space="preserve">Prorrogar o prazo </w:t>
      </w:r>
      <w:r w:rsidR="00F26AEC">
        <w:rPr>
          <w:rFonts w:ascii="Times New Roman" w:hAnsi="Times New Roman"/>
        </w:rPr>
        <w:t>para a finalização dos trabalhos do Grupo de Trabalho instituído por meio da Portaria Presidencia</w:t>
      </w:r>
      <w:r w:rsidR="00CD5D9A">
        <w:rPr>
          <w:rFonts w:ascii="Times New Roman" w:hAnsi="Times New Roman"/>
        </w:rPr>
        <w:t>l</w:t>
      </w:r>
      <w:r w:rsidR="00F26AEC">
        <w:rPr>
          <w:rFonts w:ascii="Times New Roman" w:hAnsi="Times New Roman"/>
        </w:rPr>
        <w:t xml:space="preserve"> CAU/SP nº </w:t>
      </w:r>
      <w:r w:rsidR="00CD5D9A">
        <w:rPr>
          <w:rFonts w:ascii="Times New Roman" w:hAnsi="Times New Roman"/>
        </w:rPr>
        <w:t>101, de 20 de fevereiro de 2019</w:t>
      </w:r>
      <w:r w:rsidR="00F26AEC">
        <w:rPr>
          <w:rFonts w:ascii="Times New Roman" w:hAnsi="Times New Roman"/>
        </w:rPr>
        <w:t xml:space="preserve">, </w:t>
      </w:r>
      <w:r w:rsidR="00CD5D9A">
        <w:rPr>
          <w:rFonts w:ascii="Times New Roman" w:hAnsi="Times New Roman"/>
        </w:rPr>
        <w:t xml:space="preserve">alterada pela Portaria Presidencial CAU/SP nº 109, de 26 de março de 2019, </w:t>
      </w:r>
      <w:r w:rsidR="00F26AEC">
        <w:rPr>
          <w:rFonts w:ascii="Times New Roman" w:hAnsi="Times New Roman"/>
        </w:rPr>
        <w:t xml:space="preserve">por mais </w:t>
      </w:r>
      <w:r w:rsidR="00CD5D9A">
        <w:rPr>
          <w:rFonts w:ascii="Times New Roman" w:hAnsi="Times New Roman"/>
        </w:rPr>
        <w:t>6</w:t>
      </w:r>
      <w:r w:rsidR="00F26AEC">
        <w:rPr>
          <w:rFonts w:ascii="Times New Roman" w:hAnsi="Times New Roman"/>
        </w:rPr>
        <w:t>0 (</w:t>
      </w:r>
      <w:r w:rsidR="00CD5D9A">
        <w:rPr>
          <w:rFonts w:ascii="Times New Roman" w:hAnsi="Times New Roman"/>
        </w:rPr>
        <w:t>sessenta</w:t>
      </w:r>
      <w:r w:rsidR="00F26AEC">
        <w:rPr>
          <w:rFonts w:ascii="Times New Roman" w:hAnsi="Times New Roman"/>
        </w:rPr>
        <w:t xml:space="preserve">) dias, a contar da data de finalização do primeiro período de vigência, a saber, </w:t>
      </w:r>
      <w:r w:rsidR="00CD5D9A">
        <w:rPr>
          <w:rFonts w:ascii="Times New Roman" w:hAnsi="Times New Roman"/>
        </w:rPr>
        <w:t>20 de abril de 2019</w:t>
      </w:r>
      <w:bookmarkStart w:id="0" w:name="_GoBack"/>
      <w:bookmarkEnd w:id="0"/>
      <w:r w:rsidR="00F26AEC">
        <w:rPr>
          <w:rFonts w:ascii="Times New Roman" w:hAnsi="Times New Roman"/>
        </w:rPr>
        <w:t>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F26AEC" w:rsidRPr="00CD5D9A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CD5D9A">
        <w:rPr>
          <w:rFonts w:ascii="Times New Roman" w:hAnsi="Times New Roman" w:cs="Times New Roman"/>
          <w:sz w:val="22"/>
          <w:szCs w:val="22"/>
        </w:rPr>
        <w:t xml:space="preserve">Art. </w:t>
      </w:r>
      <w:r w:rsidR="00F26AEC" w:rsidRPr="00CD5D9A">
        <w:rPr>
          <w:rFonts w:ascii="Times New Roman" w:hAnsi="Times New Roman" w:cs="Times New Roman"/>
          <w:sz w:val="22"/>
          <w:szCs w:val="22"/>
        </w:rPr>
        <w:t>2</w:t>
      </w:r>
      <w:r w:rsidRPr="00CD5D9A">
        <w:rPr>
          <w:rFonts w:ascii="Times New Roman" w:hAnsi="Times New Roman" w:cs="Times New Roman"/>
          <w:sz w:val="22"/>
          <w:szCs w:val="22"/>
        </w:rPr>
        <w:t>º</w:t>
      </w:r>
      <w:r w:rsidR="00F26AEC" w:rsidRPr="00CD5D9A">
        <w:rPr>
          <w:rFonts w:ascii="Times New Roman" w:hAnsi="Times New Roman" w:cs="Times New Roman"/>
          <w:sz w:val="22"/>
          <w:szCs w:val="22"/>
        </w:rPr>
        <w:t xml:space="preserve"> Restam inalteradas as demais </w:t>
      </w:r>
      <w:r w:rsidR="00CD5D9A" w:rsidRPr="00CD5D9A">
        <w:rPr>
          <w:rFonts w:ascii="Times New Roman" w:hAnsi="Times New Roman" w:cs="Times New Roman"/>
          <w:sz w:val="22"/>
          <w:szCs w:val="22"/>
        </w:rPr>
        <w:t>disposições</w:t>
      </w:r>
      <w:r w:rsidR="00F26AEC" w:rsidRPr="00CD5D9A">
        <w:rPr>
          <w:rFonts w:ascii="Times New Roman" w:hAnsi="Times New Roman" w:cs="Times New Roman"/>
          <w:sz w:val="22"/>
          <w:szCs w:val="22"/>
        </w:rPr>
        <w:t xml:space="preserve"> contidas na</w:t>
      </w:r>
      <w:r w:rsidRPr="00CD5D9A">
        <w:rPr>
          <w:rFonts w:ascii="Times New Roman" w:hAnsi="Times New Roman" w:cs="Times New Roman"/>
          <w:sz w:val="22"/>
          <w:szCs w:val="22"/>
        </w:rPr>
        <w:t xml:space="preserve"> </w:t>
      </w:r>
      <w:r w:rsidR="00CD5D9A" w:rsidRPr="00CD5D9A">
        <w:rPr>
          <w:rFonts w:ascii="Times New Roman" w:hAnsi="Times New Roman"/>
          <w:sz w:val="22"/>
          <w:szCs w:val="22"/>
        </w:rPr>
        <w:t>Portaria Presidencial CAU/SP nº 101, de 20 de fevereiro de 2019, alterada pela Portaria Presidencial CAU/SP nº 109, de 26 de março de 2019</w:t>
      </w:r>
      <w:r w:rsidR="00F26AEC" w:rsidRPr="00CD5D9A">
        <w:rPr>
          <w:rFonts w:ascii="Times New Roman" w:hAnsi="Times New Roman" w:cs="Times New Roman"/>
          <w:sz w:val="22"/>
          <w:szCs w:val="22"/>
        </w:rPr>
        <w:t xml:space="preserve">, no que não contrariar a presente </w:t>
      </w:r>
      <w:r w:rsidR="00CD5D9A">
        <w:rPr>
          <w:rFonts w:ascii="Times New Roman" w:hAnsi="Times New Roman" w:cs="Times New Roman"/>
          <w:sz w:val="22"/>
          <w:szCs w:val="22"/>
        </w:rPr>
        <w:t>P</w:t>
      </w:r>
      <w:r w:rsidR="00F26AEC" w:rsidRPr="00CD5D9A">
        <w:rPr>
          <w:rFonts w:ascii="Times New Roman" w:hAnsi="Times New Roman" w:cs="Times New Roman"/>
          <w:sz w:val="22"/>
          <w:szCs w:val="22"/>
        </w:rPr>
        <w:t>ortaria.</w:t>
      </w:r>
    </w:p>
    <w:p w:rsidR="00F26AEC" w:rsidRPr="00CD5D9A" w:rsidRDefault="00F26AEC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F26AEC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 </w:t>
      </w:r>
      <w:r w:rsidR="004A3310" w:rsidRPr="004A3310">
        <w:rPr>
          <w:rFonts w:ascii="Times New Roman" w:hAnsi="Times New Roman" w:cs="Times New Roman"/>
          <w:sz w:val="22"/>
          <w:szCs w:val="22"/>
        </w:rPr>
        <w:t>Esta Portaria entra em vigor na data de sua assinatura.</w:t>
      </w: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CD5D9A">
        <w:rPr>
          <w:rFonts w:ascii="Times New Roman" w:hAnsi="Times New Roman" w:cs="Times New Roman"/>
          <w:sz w:val="22"/>
          <w:szCs w:val="22"/>
        </w:rPr>
        <w:t>18</w:t>
      </w:r>
      <w:r w:rsidR="00F26AEC">
        <w:rPr>
          <w:rFonts w:ascii="Times New Roman" w:hAnsi="Times New Roman" w:cs="Times New Roman"/>
          <w:sz w:val="22"/>
          <w:szCs w:val="22"/>
        </w:rPr>
        <w:t xml:space="preserve"> de </w:t>
      </w:r>
      <w:r w:rsidR="00CD5D9A">
        <w:rPr>
          <w:rFonts w:ascii="Times New Roman" w:hAnsi="Times New Roman" w:cs="Times New Roman"/>
          <w:sz w:val="22"/>
          <w:szCs w:val="22"/>
        </w:rPr>
        <w:t>abril</w:t>
      </w:r>
      <w:r w:rsidR="00EA251D">
        <w:rPr>
          <w:rFonts w:ascii="Times New Roman" w:hAnsi="Times New Roman" w:cs="Times New Roman"/>
          <w:sz w:val="22"/>
          <w:szCs w:val="22"/>
        </w:rPr>
        <w:t xml:space="preserve"> </w:t>
      </w:r>
      <w:r w:rsidRPr="004A3310">
        <w:rPr>
          <w:rFonts w:ascii="Times New Roman" w:hAnsi="Times New Roman" w:cs="Times New Roman"/>
          <w:sz w:val="22"/>
          <w:szCs w:val="22"/>
        </w:rPr>
        <w:t>de 201</w:t>
      </w:r>
      <w:r w:rsidR="00CD5D9A">
        <w:rPr>
          <w:rFonts w:ascii="Times New Roman" w:hAnsi="Times New Roman" w:cs="Times New Roman"/>
          <w:sz w:val="22"/>
          <w:szCs w:val="22"/>
        </w:rPr>
        <w:t>9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:rsidR="00EA251D" w:rsidRPr="004A3310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 xml:space="preserve">José Roberto </w:t>
      </w:r>
      <w:proofErr w:type="spellStart"/>
      <w:r w:rsidRPr="004A3310">
        <w:rPr>
          <w:rFonts w:ascii="Times New Roman" w:hAnsi="Times New Roman"/>
          <w:b/>
        </w:rPr>
        <w:t>Geraldine</w:t>
      </w:r>
      <w:proofErr w:type="spellEnd"/>
      <w:r w:rsidRPr="004A3310">
        <w:rPr>
          <w:rFonts w:ascii="Times New Roman" w:hAnsi="Times New Roman"/>
          <w:b/>
        </w:rPr>
        <w:t xml:space="preserve"> Junior</w:t>
      </w: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sectPr w:rsidR="004A3310" w:rsidRPr="004A3310" w:rsidSect="00CD5D9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1274" w:bottom="1417" w:left="1701" w:header="708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1B8" w:rsidRDefault="00D421B8" w:rsidP="0082171B">
      <w:pPr>
        <w:spacing w:after="0" w:line="240" w:lineRule="auto"/>
      </w:pPr>
      <w:r>
        <w:separator/>
      </w:r>
    </w:p>
  </w:endnote>
  <w:endnote w:type="continuationSeparator" w:id="0">
    <w:p w:rsidR="00D421B8" w:rsidRDefault="00D421B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CD5D9A">
      <w:rPr>
        <w:rFonts w:ascii="Times New Roman" w:hAnsi="Times New Roman"/>
        <w:sz w:val="18"/>
        <w:szCs w:val="18"/>
      </w:rPr>
      <w:t>116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CD5D9A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F354E6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F354E6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1B8" w:rsidRDefault="00D421B8" w:rsidP="0082171B">
      <w:pPr>
        <w:spacing w:after="0" w:line="240" w:lineRule="auto"/>
      </w:pPr>
      <w:r>
        <w:separator/>
      </w:r>
    </w:p>
  </w:footnote>
  <w:footnote w:type="continuationSeparator" w:id="0">
    <w:p w:rsidR="00D421B8" w:rsidRDefault="00D421B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354E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1A7B9F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354E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93AC9"/>
    <w:rsid w:val="000C2129"/>
    <w:rsid w:val="000E0EFF"/>
    <w:rsid w:val="000E3AA8"/>
    <w:rsid w:val="000F485C"/>
    <w:rsid w:val="000F560F"/>
    <w:rsid w:val="000F61DD"/>
    <w:rsid w:val="00130CEC"/>
    <w:rsid w:val="001933C6"/>
    <w:rsid w:val="001A7B9F"/>
    <w:rsid w:val="001B22AF"/>
    <w:rsid w:val="001D4041"/>
    <w:rsid w:val="001D62D1"/>
    <w:rsid w:val="0020054B"/>
    <w:rsid w:val="00212EDB"/>
    <w:rsid w:val="00233ABC"/>
    <w:rsid w:val="00241CA5"/>
    <w:rsid w:val="00256F5C"/>
    <w:rsid w:val="002B08E5"/>
    <w:rsid w:val="003933A9"/>
    <w:rsid w:val="003B4F0A"/>
    <w:rsid w:val="003D29A5"/>
    <w:rsid w:val="003D6A0B"/>
    <w:rsid w:val="003F5A59"/>
    <w:rsid w:val="00424C39"/>
    <w:rsid w:val="00472DF6"/>
    <w:rsid w:val="004A3310"/>
    <w:rsid w:val="004C4A73"/>
    <w:rsid w:val="004E3331"/>
    <w:rsid w:val="00501E97"/>
    <w:rsid w:val="005033F0"/>
    <w:rsid w:val="005104E2"/>
    <w:rsid w:val="00515556"/>
    <w:rsid w:val="0055096C"/>
    <w:rsid w:val="00591322"/>
    <w:rsid w:val="005C3834"/>
    <w:rsid w:val="005D1450"/>
    <w:rsid w:val="0061755E"/>
    <w:rsid w:val="00640063"/>
    <w:rsid w:val="00644525"/>
    <w:rsid w:val="00682A49"/>
    <w:rsid w:val="00697F7A"/>
    <w:rsid w:val="007044D7"/>
    <w:rsid w:val="00775416"/>
    <w:rsid w:val="007D1D0D"/>
    <w:rsid w:val="007E34EF"/>
    <w:rsid w:val="007F610E"/>
    <w:rsid w:val="0081218B"/>
    <w:rsid w:val="0082171B"/>
    <w:rsid w:val="008935AD"/>
    <w:rsid w:val="00895B51"/>
    <w:rsid w:val="008B4876"/>
    <w:rsid w:val="009336A0"/>
    <w:rsid w:val="009774D6"/>
    <w:rsid w:val="00991B2F"/>
    <w:rsid w:val="009C4E1E"/>
    <w:rsid w:val="00A42042"/>
    <w:rsid w:val="00A55498"/>
    <w:rsid w:val="00A83A5B"/>
    <w:rsid w:val="00A848E7"/>
    <w:rsid w:val="00AD42AD"/>
    <w:rsid w:val="00B30A05"/>
    <w:rsid w:val="00B6067E"/>
    <w:rsid w:val="00B81850"/>
    <w:rsid w:val="00B902C4"/>
    <w:rsid w:val="00BB309C"/>
    <w:rsid w:val="00C04BD7"/>
    <w:rsid w:val="00C72B49"/>
    <w:rsid w:val="00C75957"/>
    <w:rsid w:val="00C80541"/>
    <w:rsid w:val="00C90EBD"/>
    <w:rsid w:val="00CD5D9A"/>
    <w:rsid w:val="00CE2EF9"/>
    <w:rsid w:val="00D07BB6"/>
    <w:rsid w:val="00D17D67"/>
    <w:rsid w:val="00D421B8"/>
    <w:rsid w:val="00D57A52"/>
    <w:rsid w:val="00D60208"/>
    <w:rsid w:val="00D83649"/>
    <w:rsid w:val="00DB4D15"/>
    <w:rsid w:val="00DB6CF3"/>
    <w:rsid w:val="00DC32E3"/>
    <w:rsid w:val="00DD6BCD"/>
    <w:rsid w:val="00DE0CCB"/>
    <w:rsid w:val="00E41F24"/>
    <w:rsid w:val="00E86946"/>
    <w:rsid w:val="00E93E7E"/>
    <w:rsid w:val="00EA251D"/>
    <w:rsid w:val="00F26AEC"/>
    <w:rsid w:val="00F3085C"/>
    <w:rsid w:val="00F354E6"/>
    <w:rsid w:val="00F60DC0"/>
    <w:rsid w:val="00F66D31"/>
    <w:rsid w:val="00FB22C2"/>
    <w:rsid w:val="00F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B5B11C4C-9A56-4312-9569-5BF5213C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8</cp:revision>
  <cp:lastPrinted>2018-03-28T19:31:00Z</cp:lastPrinted>
  <dcterms:created xsi:type="dcterms:W3CDTF">2019-01-02T18:23:00Z</dcterms:created>
  <dcterms:modified xsi:type="dcterms:W3CDTF">2019-04-22T16:22:00Z</dcterms:modified>
</cp:coreProperties>
</file>