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Pr="00F53323" w:rsidRDefault="00CF576B">
      <w:pPr>
        <w:widowControl w:val="0"/>
        <w:tabs>
          <w:tab w:val="left" w:pos="0"/>
        </w:tabs>
        <w:spacing w:after="288" w:line="240" w:lineRule="auto"/>
        <w:jc w:val="center"/>
        <w:rPr>
          <w:rFonts w:ascii="Times New Roman" w:eastAsia="Times New Roman" w:hAnsi="Times New Roman" w:cs="Times New Roman"/>
          <w:b/>
        </w:rPr>
      </w:pPr>
      <w:bookmarkStart w:id="0" w:name="_GoBack"/>
      <w:r>
        <w:rPr>
          <w:rFonts w:ascii="Times New Roman" w:eastAsia="Times New Roman" w:hAnsi="Times New Roman" w:cs="Times New Roman"/>
          <w:b/>
        </w:rPr>
        <w:t>ANEXO XV</w:t>
      </w:r>
    </w:p>
    <w:bookmarkEnd w:id="0"/>
    <w:p w:rsidR="008F5B4C" w:rsidRDefault="00CF576B">
      <w:pPr>
        <w:widowControl w:val="0"/>
        <w:tabs>
          <w:tab w:val="left" w:pos="0"/>
        </w:tabs>
        <w:spacing w:after="288" w:line="240" w:lineRule="auto"/>
        <w:jc w:val="center"/>
        <w:rPr>
          <w:rFonts w:ascii="Times New Roman" w:eastAsia="Times New Roman" w:hAnsi="Times New Roman" w:cs="Times New Roman"/>
          <w:b/>
        </w:rPr>
      </w:pPr>
      <w:r>
        <w:rPr>
          <w:rFonts w:ascii="Times New Roman" w:eastAsia="Times New Roman" w:hAnsi="Times New Roman" w:cs="Times New Roman"/>
          <w:b/>
        </w:rPr>
        <w:t>CHECKLIST DE APOIO – DOCUMENTAÇÃO</w:t>
      </w:r>
    </w:p>
    <w:tbl>
      <w:tblPr>
        <w:tblStyle w:val="affffff8"/>
        <w:tblW w:w="9010" w:type="dxa"/>
        <w:tblInd w:w="0" w:type="dxa"/>
        <w:tblLayout w:type="fixed"/>
        <w:tblLook w:val="0400" w:firstRow="0" w:lastRow="0" w:firstColumn="0" w:lastColumn="0" w:noHBand="0" w:noVBand="1"/>
      </w:tblPr>
      <w:tblGrid>
        <w:gridCol w:w="912"/>
        <w:gridCol w:w="651"/>
        <w:gridCol w:w="5462"/>
        <w:gridCol w:w="1985"/>
      </w:tblGrid>
      <w:tr w:rsidR="008F5B4C">
        <w:trPr>
          <w:trHeight w:val="554"/>
        </w:trPr>
        <w:tc>
          <w:tcPr>
            <w:tcW w:w="9010" w:type="dxa"/>
            <w:gridSpan w:val="4"/>
            <w:tcBorders>
              <w:top w:val="single" w:sz="4" w:space="0" w:color="000000"/>
              <w:left w:val="single" w:sz="4" w:space="0" w:color="000000"/>
              <w:bottom w:val="nil"/>
              <w:right w:val="single" w:sz="4" w:space="0" w:color="000000"/>
            </w:tcBorders>
            <w:shd w:val="clear" w:color="auto" w:fill="auto"/>
            <w:vAlign w:val="center"/>
          </w:tcPr>
          <w:p w:rsidR="008F5B4C" w:rsidRDefault="00CF576B">
            <w:pPr>
              <w:jc w:val="center"/>
              <w:rPr>
                <w:b/>
              </w:rPr>
            </w:pPr>
            <w:bookmarkStart w:id="1" w:name="bookmark=id.3whwml4" w:colFirst="0" w:colLast="0"/>
            <w:bookmarkEnd w:id="1"/>
            <w:r>
              <w:rPr>
                <w:b/>
              </w:rPr>
              <w:t>ANEXO XV- CHECKLIST DE APOIO</w:t>
            </w:r>
          </w:p>
        </w:tc>
      </w:tr>
      <w:tr w:rsidR="008F5B4C">
        <w:trPr>
          <w:trHeight w:val="360"/>
        </w:trPr>
        <w:tc>
          <w:tcPr>
            <w:tcW w:w="9010" w:type="dxa"/>
            <w:gridSpan w:val="4"/>
            <w:tcBorders>
              <w:top w:val="nil"/>
              <w:left w:val="single" w:sz="4" w:space="0" w:color="000000"/>
              <w:bottom w:val="single" w:sz="4" w:space="0" w:color="000000"/>
              <w:right w:val="single" w:sz="4" w:space="0" w:color="000000"/>
            </w:tcBorders>
            <w:shd w:val="clear" w:color="auto" w:fill="009999"/>
            <w:vAlign w:val="center"/>
          </w:tcPr>
          <w:p w:rsidR="008F5B4C" w:rsidRDefault="00CF576B">
            <w:pPr>
              <w:jc w:val="center"/>
              <w:rPr>
                <w:b/>
                <w:color w:val="FFFFFF"/>
              </w:rPr>
            </w:pPr>
            <w:r>
              <w:rPr>
                <w:b/>
                <w:color w:val="FFFFFF"/>
              </w:rPr>
              <w:t>Check List de apoio</w:t>
            </w:r>
          </w:p>
        </w:tc>
      </w:tr>
      <w:tr w:rsidR="008F5B4C">
        <w:trPr>
          <w:trHeight w:val="645"/>
        </w:trPr>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pPr>
              <w:rPr>
                <w:b/>
              </w:rPr>
            </w:pPr>
            <w:r>
              <w:rPr>
                <w:b/>
              </w:rPr>
              <w:t>Proponente:</w:t>
            </w:r>
          </w:p>
        </w:tc>
        <w:tc>
          <w:tcPr>
            <w:tcW w:w="5462" w:type="dxa"/>
            <w:tcBorders>
              <w:top w:val="single" w:sz="4" w:space="0" w:color="000000"/>
              <w:left w:val="nil"/>
              <w:bottom w:val="single" w:sz="4" w:space="0" w:color="000000"/>
              <w:right w:val="nil"/>
            </w:tcBorders>
            <w:shd w:val="clear" w:color="auto" w:fill="auto"/>
            <w:vAlign w:val="center"/>
          </w:tcPr>
          <w:p w:rsidR="008F5B4C" w:rsidRDefault="00CF576B">
            <w:pPr>
              <w:jc w:val="center"/>
              <w:rPr>
                <w:b/>
              </w:rPr>
            </w:pPr>
            <w:r>
              <w:rPr>
                <w:b/>
              </w:rPr>
              <w:t> </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rPr>
                <w:b/>
              </w:rPr>
            </w:pPr>
            <w:r>
              <w:rPr>
                <w:b/>
              </w:rPr>
              <w:t xml:space="preserve">CNPJ: </w:t>
            </w:r>
          </w:p>
        </w:tc>
      </w:tr>
      <w:tr w:rsidR="008F5B4C">
        <w:trPr>
          <w:trHeight w:val="615"/>
        </w:trPr>
        <w:tc>
          <w:tcPr>
            <w:tcW w:w="912" w:type="dxa"/>
            <w:tcBorders>
              <w:top w:val="nil"/>
              <w:left w:val="single" w:sz="4" w:space="0" w:color="000000"/>
              <w:bottom w:val="single" w:sz="4" w:space="0" w:color="000000"/>
              <w:right w:val="nil"/>
            </w:tcBorders>
            <w:shd w:val="clear" w:color="auto" w:fill="auto"/>
            <w:vAlign w:val="center"/>
          </w:tcPr>
          <w:p w:rsidR="008F5B4C" w:rsidRDefault="00CF576B">
            <w:pPr>
              <w:rPr>
                <w:b/>
              </w:rPr>
            </w:pPr>
            <w:r>
              <w:rPr>
                <w:b/>
              </w:rPr>
              <w:t xml:space="preserve">Projeto: </w:t>
            </w:r>
          </w:p>
        </w:tc>
        <w:tc>
          <w:tcPr>
            <w:tcW w:w="651" w:type="dxa"/>
            <w:tcBorders>
              <w:top w:val="nil"/>
              <w:left w:val="nil"/>
              <w:bottom w:val="single" w:sz="4" w:space="0" w:color="000000"/>
              <w:right w:val="single" w:sz="4" w:space="0" w:color="000000"/>
            </w:tcBorders>
            <w:shd w:val="clear" w:color="auto" w:fill="auto"/>
            <w:vAlign w:val="center"/>
          </w:tcPr>
          <w:p w:rsidR="008F5B4C" w:rsidRDefault="00CF576B">
            <w:pPr>
              <w:rPr>
                <w:b/>
              </w:rPr>
            </w:pPr>
            <w:r>
              <w:rPr>
                <w:b/>
              </w:rPr>
              <w:t> </w:t>
            </w:r>
          </w:p>
        </w:tc>
        <w:tc>
          <w:tcPr>
            <w:tcW w:w="7447" w:type="dxa"/>
            <w:gridSpan w:val="2"/>
            <w:tcBorders>
              <w:top w:val="single" w:sz="4" w:space="0" w:color="000000"/>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630"/>
        </w:trPr>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pPr>
              <w:rPr>
                <w:b/>
              </w:rPr>
            </w:pPr>
            <w:r>
              <w:rPr>
                <w:b/>
              </w:rPr>
              <w:t xml:space="preserve">Valor solicitado: </w:t>
            </w:r>
          </w:p>
        </w:tc>
        <w:tc>
          <w:tcPr>
            <w:tcW w:w="5462" w:type="dxa"/>
            <w:tcBorders>
              <w:top w:val="single" w:sz="4" w:space="0" w:color="000000"/>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rPr>
                <w:b/>
              </w:rPr>
            </w:pPr>
            <w:r>
              <w:rPr>
                <w:b/>
              </w:rPr>
              <w:t xml:space="preserve">Prazo de Execução: </w:t>
            </w:r>
          </w:p>
        </w:tc>
      </w:tr>
      <w:tr w:rsidR="008F5B4C">
        <w:trPr>
          <w:trHeight w:val="42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8F5B4C" w:rsidRDefault="00CF576B">
            <w:pPr>
              <w:jc w:val="center"/>
              <w:rPr>
                <w:b/>
              </w:rPr>
            </w:pPr>
            <w:r>
              <w:rPr>
                <w:b/>
              </w:rPr>
              <w:t>Documentos</w:t>
            </w:r>
          </w:p>
        </w:tc>
        <w:tc>
          <w:tcPr>
            <w:tcW w:w="1985" w:type="dxa"/>
            <w:tcBorders>
              <w:top w:val="nil"/>
              <w:left w:val="nil"/>
              <w:bottom w:val="single" w:sz="4" w:space="0" w:color="000000"/>
              <w:right w:val="single" w:sz="4" w:space="0" w:color="000000"/>
            </w:tcBorders>
            <w:shd w:val="clear" w:color="auto" w:fill="E7E6E6"/>
            <w:vAlign w:val="center"/>
          </w:tcPr>
          <w:p w:rsidR="008F5B4C" w:rsidRDefault="00CF576B">
            <w:pPr>
              <w:jc w:val="center"/>
              <w:rPr>
                <w:b/>
              </w:rPr>
            </w:pPr>
            <w:r>
              <w:rPr>
                <w:b/>
              </w:rPr>
              <w:t> </w:t>
            </w:r>
          </w:p>
        </w:tc>
      </w:tr>
      <w:tr w:rsidR="008F5B4C">
        <w:trPr>
          <w:trHeight w:val="42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009999"/>
            <w:vAlign w:val="center"/>
          </w:tcPr>
          <w:p w:rsidR="008F5B4C" w:rsidRDefault="00CF576B">
            <w:pPr>
              <w:jc w:val="center"/>
              <w:rPr>
                <w:b/>
                <w:color w:val="FFFFFF"/>
              </w:rPr>
            </w:pPr>
            <w:r>
              <w:rPr>
                <w:b/>
                <w:color w:val="FFFFFF"/>
              </w:rPr>
              <w:t>CONDIÇÕES DE PARTICIPAÇÃO - ESTATUTO SOCIAL</w:t>
            </w:r>
          </w:p>
        </w:tc>
        <w:tc>
          <w:tcPr>
            <w:tcW w:w="1985" w:type="dxa"/>
            <w:tcBorders>
              <w:top w:val="nil"/>
              <w:left w:val="nil"/>
              <w:bottom w:val="single" w:sz="4" w:space="0" w:color="000000"/>
              <w:right w:val="single" w:sz="4" w:space="0" w:color="000000"/>
            </w:tcBorders>
            <w:shd w:val="clear" w:color="auto" w:fill="009999"/>
            <w:vAlign w:val="center"/>
          </w:tcPr>
          <w:p w:rsidR="008F5B4C" w:rsidRDefault="00CF576B">
            <w:pPr>
              <w:jc w:val="center"/>
              <w:rPr>
                <w:b/>
                <w:color w:val="FFFFFF"/>
              </w:rPr>
            </w:pPr>
            <w:r>
              <w:rPr>
                <w:b/>
                <w:color w:val="FFFFFF"/>
              </w:rPr>
              <w:t>Sim/Não</w:t>
            </w:r>
          </w:p>
        </w:tc>
      </w:tr>
      <w:tr w:rsidR="008F5B4C">
        <w:trPr>
          <w:trHeight w:val="16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 xml:space="preserve">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 </w:t>
            </w:r>
          </w:p>
        </w:tc>
        <w:tc>
          <w:tcPr>
            <w:tcW w:w="1985" w:type="dxa"/>
            <w:tcBorders>
              <w:top w:val="nil"/>
              <w:left w:val="nil"/>
              <w:bottom w:val="single" w:sz="4" w:space="0" w:color="000000"/>
              <w:right w:val="single" w:sz="4" w:space="0" w:color="000000"/>
            </w:tcBorders>
            <w:shd w:val="clear" w:color="auto" w:fill="FFFFFF"/>
            <w:vAlign w:val="center"/>
          </w:tcPr>
          <w:p w:rsidR="008F5B4C" w:rsidRDefault="00CF576B">
            <w:pPr>
              <w:jc w:val="center"/>
              <w:rPr>
                <w:b/>
                <w:color w:val="FFFFFF"/>
              </w:rPr>
            </w:pPr>
            <w:r>
              <w:rPr>
                <w:b/>
                <w:color w:val="FFFFFF"/>
              </w:rPr>
              <w:t> </w:t>
            </w:r>
          </w:p>
        </w:tc>
      </w:tr>
      <w:tr w:rsidR="008F5B4C">
        <w:trPr>
          <w:trHeight w:val="66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 xml:space="preserve">2. A Organização da Sociedade possui objetivos voltados à promoção de atividades e finalidades de relevância pública e social (artigo 33, inciso I, da Lei 13.019/2014), conforme item 4.1.5.2. do edital; </w:t>
            </w:r>
          </w:p>
        </w:tc>
        <w:tc>
          <w:tcPr>
            <w:tcW w:w="1985" w:type="dxa"/>
            <w:tcBorders>
              <w:top w:val="nil"/>
              <w:left w:val="nil"/>
              <w:bottom w:val="single" w:sz="4" w:space="0" w:color="000000"/>
              <w:right w:val="single" w:sz="4" w:space="0" w:color="000000"/>
            </w:tcBorders>
            <w:shd w:val="clear" w:color="auto" w:fill="FFFFFF"/>
            <w:vAlign w:val="center"/>
          </w:tcPr>
          <w:p w:rsidR="008F5B4C" w:rsidRDefault="00CF576B">
            <w:pPr>
              <w:jc w:val="center"/>
              <w:rPr>
                <w:b/>
                <w:color w:val="FFFFFF"/>
              </w:rPr>
            </w:pPr>
            <w:r>
              <w:rPr>
                <w:b/>
                <w:color w:val="FFFFFF"/>
              </w:rPr>
              <w:t> </w:t>
            </w:r>
          </w:p>
        </w:tc>
      </w:tr>
      <w:tr w:rsidR="008F5B4C">
        <w:trPr>
          <w:trHeight w:val="115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1985" w:type="dxa"/>
            <w:tcBorders>
              <w:top w:val="nil"/>
              <w:left w:val="nil"/>
              <w:bottom w:val="single" w:sz="4" w:space="0" w:color="000000"/>
              <w:right w:val="single" w:sz="4" w:space="0" w:color="000000"/>
            </w:tcBorders>
            <w:shd w:val="clear" w:color="auto" w:fill="FFFFFF"/>
            <w:vAlign w:val="center"/>
          </w:tcPr>
          <w:p w:rsidR="008F5B4C" w:rsidRDefault="00CF576B">
            <w:pPr>
              <w:jc w:val="center"/>
              <w:rPr>
                <w:b/>
                <w:color w:val="FFFFFF"/>
              </w:rPr>
            </w:pPr>
            <w:r>
              <w:rPr>
                <w:b/>
                <w:color w:val="FFFFFF"/>
              </w:rPr>
              <w:t> </w:t>
            </w:r>
          </w:p>
        </w:tc>
      </w:tr>
      <w:tr w:rsidR="008F5B4C">
        <w:trPr>
          <w:trHeight w:val="96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4. A escrituração da Organização da Sociedade Civil será realizada de acordo com os princípios fundamentais da contabilidade e com as Normas Brasileira de Contabilidade (artigo 33, inciso IV, da Lei 13.019/2014), conforme item 4.1.5.4. do edital.</w:t>
            </w:r>
          </w:p>
        </w:tc>
        <w:tc>
          <w:tcPr>
            <w:tcW w:w="1985" w:type="dxa"/>
            <w:tcBorders>
              <w:top w:val="nil"/>
              <w:left w:val="nil"/>
              <w:bottom w:val="single" w:sz="4" w:space="0" w:color="000000"/>
              <w:right w:val="single" w:sz="4" w:space="0" w:color="000000"/>
            </w:tcBorders>
            <w:shd w:val="clear" w:color="auto" w:fill="FFFFFF"/>
            <w:vAlign w:val="center"/>
          </w:tcPr>
          <w:p w:rsidR="008F5B4C" w:rsidRDefault="00CF576B">
            <w:pPr>
              <w:jc w:val="center"/>
              <w:rPr>
                <w:b/>
                <w:color w:val="FFFFFF"/>
              </w:rPr>
            </w:pPr>
            <w:r>
              <w:rPr>
                <w:b/>
                <w:color w:val="FFFFFF"/>
              </w:rPr>
              <w:t> </w:t>
            </w:r>
          </w:p>
        </w:tc>
      </w:tr>
      <w:tr w:rsidR="008F5B4C">
        <w:trPr>
          <w:trHeight w:val="30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009999"/>
            <w:vAlign w:val="center"/>
          </w:tcPr>
          <w:p w:rsidR="008F5B4C" w:rsidRDefault="00CF576B">
            <w:pPr>
              <w:jc w:val="center"/>
              <w:rPr>
                <w:b/>
                <w:color w:val="FFFFFF"/>
              </w:rPr>
            </w:pPr>
            <w:r>
              <w:rPr>
                <w:b/>
                <w:color w:val="FFFFFF"/>
              </w:rPr>
              <w:t xml:space="preserve">DOCUMENTOS DE HABILITAÇÃO </w:t>
            </w:r>
          </w:p>
        </w:tc>
        <w:tc>
          <w:tcPr>
            <w:tcW w:w="1985" w:type="dxa"/>
            <w:tcBorders>
              <w:top w:val="nil"/>
              <w:left w:val="nil"/>
              <w:bottom w:val="single" w:sz="4" w:space="0" w:color="000000"/>
              <w:right w:val="single" w:sz="4" w:space="0" w:color="000000"/>
            </w:tcBorders>
            <w:shd w:val="clear" w:color="auto" w:fill="009999"/>
            <w:vAlign w:val="center"/>
          </w:tcPr>
          <w:p w:rsidR="008F5B4C" w:rsidRDefault="00CF576B">
            <w:pPr>
              <w:jc w:val="center"/>
              <w:rPr>
                <w:b/>
                <w:color w:val="FFFFFF"/>
              </w:rPr>
            </w:pPr>
            <w:r>
              <w:rPr>
                <w:b/>
                <w:color w:val="FFFFFF"/>
              </w:rPr>
              <w:t>Sim/Não</w:t>
            </w:r>
          </w:p>
        </w:tc>
      </w:tr>
      <w:tr w:rsidR="008F5B4C">
        <w:trPr>
          <w:trHeight w:val="136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94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Il. Cópia do estatuto registrado e suas alterações, em conformidade com as exigências previstas no art. 33 da Lei nº 13.019, de 2014. Conforme item 12.1.2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27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26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lastRenderedPageBreak/>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IV do presente Edital. Conforme item 12.1.4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23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V. Declaração de que a Organização da Sociedade Civil não possui dirigentes que sejam empregados ou dirigentes do CAU/BR ou dos CAU/UF, bem como seus cônjuges, companheiros ou parentes em linha reta até segundo grau, conforme o Anexo V do presente Edital. Conforme item 12.1.5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99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Vl. Comprovantes de experiência prévia na realização do objeto da parceria ou de objeto de natureza semelhante de, no mínimo, um ano de capacidade técnica e operacional. Conforme item 12.1.6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7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Vll. Certidão de Débitos Relativos a Créditos Tributários Federais e à Dívida Ativa da União. Conforme item 12.1.7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7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VlIl. Certidão de Débitos Relativos a Créditos Tributários Estaduais. Conforme item 12.1.8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7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IX. Certidão de Débitos Relativos a Créditos Tributários Municipais Mobiliários. Conforme item 12.1.9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7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 Certidão de Débitos Relativos a Créditos Tributários Imobiliários. Conforme item 12.1.9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70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XI. Certificado de Regularidade do Fundo de Garantia do Tempo de Serviço - CRF/FGTS. Conforme item 12.1.10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64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XII. Certidão Negativa de Débitos Trabalhistas - CNDT. Conforme item 12.1.11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64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XIII. Relatório de Inclusão no Cadastro Informativo de Créditos não Quitados do Setor Público Federal - CADIN/Sisbacen emitido pela Secretaria da Receita Federal do Brasil (SRFB) (art. 29 do Decreto 8.726/2016). Conforme item 12.1.12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97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XIV. Cópia de documento que comprove que a organização da sociedade civil funciona no endereço por ela declarado, como conta de consumo ou contrato de locação. Conforme item 12.1.13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29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XV. Declaração do representante legal da organização da sociedade civil sobre a existência de instalações e outras condições materiais da organização ou sobre a previsão de contratar ou adquirir com recursos da parceria (Modelo</w:t>
            </w:r>
            <w:r>
              <w:rPr>
                <w:highlight w:val="white"/>
              </w:rPr>
              <w:t xml:space="preserve"> - Anexo VI). </w:t>
            </w:r>
            <w:r>
              <w:t xml:space="preserve">Conforme item 12.1.14 do edital. </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38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VII). Conforme item 12.1.15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39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 xml:space="preserve">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w:t>
            </w:r>
            <w:r>
              <w:lastRenderedPageBreak/>
              <w:t>específica e na lei de diretrizes orçamentárias (Modelo - Anexo VIII). Conforme item 12.1.16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lastRenderedPageBreak/>
              <w:t> </w:t>
            </w:r>
          </w:p>
        </w:tc>
      </w:tr>
      <w:tr w:rsidR="008F5B4C">
        <w:trPr>
          <w:trHeight w:val="1065"/>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IX). Conforme item 12.1.17. do edital.</w:t>
            </w:r>
          </w:p>
        </w:tc>
        <w:tc>
          <w:tcPr>
            <w:tcW w:w="1985" w:type="dxa"/>
            <w:tcBorders>
              <w:top w:val="nil"/>
              <w:left w:val="nil"/>
              <w:bottom w:val="single" w:sz="4" w:space="0" w:color="000000"/>
              <w:right w:val="single" w:sz="4" w:space="0" w:color="000000"/>
            </w:tcBorders>
            <w:shd w:val="clear" w:color="auto" w:fill="auto"/>
            <w:vAlign w:val="center"/>
          </w:tcPr>
          <w:p w:rsidR="008F5B4C" w:rsidRDefault="00CF576B">
            <w:pPr>
              <w:jc w:val="center"/>
              <w:rPr>
                <w:b/>
              </w:rPr>
            </w:pPr>
            <w:r>
              <w:rPr>
                <w:b/>
              </w:rPr>
              <w:t> </w:t>
            </w:r>
          </w:p>
        </w:tc>
      </w:tr>
      <w:tr w:rsidR="008F5B4C">
        <w:trPr>
          <w:trHeight w:val="1170"/>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B4C" w:rsidRDefault="00CF576B">
            <w:r>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 Conforme item 12.1.18. do edital.</w:t>
            </w:r>
          </w:p>
        </w:tc>
        <w:tc>
          <w:tcPr>
            <w:tcW w:w="1985" w:type="dxa"/>
            <w:tcBorders>
              <w:top w:val="nil"/>
              <w:left w:val="nil"/>
              <w:bottom w:val="single" w:sz="4" w:space="0" w:color="000000"/>
              <w:right w:val="single" w:sz="4" w:space="0" w:color="000000"/>
            </w:tcBorders>
            <w:shd w:val="clear" w:color="auto" w:fill="FFFFFF"/>
            <w:vAlign w:val="center"/>
          </w:tcPr>
          <w:p w:rsidR="008F5B4C" w:rsidRDefault="00CF576B">
            <w:pPr>
              <w:jc w:val="center"/>
              <w:rPr>
                <w:b/>
              </w:rPr>
            </w:pPr>
            <w:r>
              <w:rPr>
                <w:b/>
              </w:rPr>
              <w:t> </w:t>
            </w:r>
          </w:p>
        </w:tc>
      </w:tr>
    </w:tbl>
    <w:p w:rsidR="008F5B4C" w:rsidRDefault="008F5B4C">
      <w:pPr>
        <w:widowControl w:val="0"/>
        <w:tabs>
          <w:tab w:val="left" w:pos="0"/>
        </w:tabs>
        <w:spacing w:after="288" w:line="240" w:lineRule="auto"/>
        <w:jc w:val="center"/>
        <w:rPr>
          <w:rFonts w:ascii="Times New Roman" w:eastAsia="Times New Roman" w:hAnsi="Times New Roman" w:cs="Times New Roman"/>
        </w:rPr>
      </w:pPr>
    </w:p>
    <w:p w:rsidR="008F5B4C" w:rsidRDefault="008F5B4C">
      <w:pPr>
        <w:widowControl w:val="0"/>
        <w:tabs>
          <w:tab w:val="left" w:pos="0"/>
          <w:tab w:val="left" w:pos="5746"/>
        </w:tabs>
        <w:spacing w:after="288" w:line="240" w:lineRule="auto"/>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b/>
        </w:rPr>
      </w:pPr>
    </w:p>
    <w:p w:rsidR="008F5B4C" w:rsidRDefault="008F5B4C">
      <w:pPr>
        <w:widowControl w:val="0"/>
        <w:spacing w:after="0" w:line="240" w:lineRule="auto"/>
        <w:jc w:val="center"/>
        <w:rPr>
          <w:rFonts w:ascii="Times New Roman" w:eastAsia="Times New Roman" w:hAnsi="Times New Roman" w:cs="Times New Roman"/>
          <w:b/>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widowControl w:val="0"/>
        <w:spacing w:after="0" w:line="240" w:lineRule="auto"/>
        <w:jc w:val="center"/>
        <w:rPr>
          <w:rFonts w:ascii="Times New Roman" w:eastAsia="Times New Roman" w:hAnsi="Times New Roman" w:cs="Times New Roman"/>
        </w:rPr>
      </w:pPr>
    </w:p>
    <w:p w:rsidR="008F5B4C" w:rsidRDefault="008F5B4C">
      <w:pPr>
        <w:rPr>
          <w:rFonts w:ascii="Times New Roman" w:eastAsia="Times New Roman" w:hAnsi="Times New Roman" w:cs="Times New Roman"/>
        </w:rPr>
      </w:pPr>
    </w:p>
    <w:p w:rsidR="008F5B4C" w:rsidRDefault="008F5B4C">
      <w:pPr>
        <w:spacing w:after="0" w:line="360" w:lineRule="auto"/>
        <w:rPr>
          <w:rFonts w:ascii="Times New Roman" w:eastAsia="Times New Roman" w:hAnsi="Times New Roman" w:cs="Times New Roman"/>
          <w:sz w:val="24"/>
          <w:szCs w:val="24"/>
        </w:rPr>
      </w:pPr>
    </w:p>
    <w:sectPr w:rsidR="008F5B4C">
      <w:headerReference w:type="even" r:id="rId8"/>
      <w:headerReference w:type="default" r:id="rId9"/>
      <w:footerReference w:type="default" r:id="rId10"/>
      <w:headerReference w:type="first" r:id="rId11"/>
      <w:pgSz w:w="11900" w:h="16840"/>
      <w:pgMar w:top="1440" w:right="1440" w:bottom="567" w:left="144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0F" w:rsidRDefault="00647F0F">
      <w:pPr>
        <w:spacing w:after="0" w:line="240" w:lineRule="auto"/>
      </w:pPr>
      <w:r>
        <w:separator/>
      </w:r>
    </w:p>
  </w:endnote>
  <w:endnote w:type="continuationSeparator" w:id="0">
    <w:p w:rsidR="00647F0F" w:rsidRDefault="006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5D5524">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5D5524">
      <w:rPr>
        <w:rFonts w:ascii="Times New Roman" w:eastAsia="Times New Roman" w:hAnsi="Times New Roman" w:cs="Times New Roman"/>
        <w:b/>
        <w:noProof/>
        <w:sz w:val="24"/>
        <w:szCs w:val="24"/>
      </w:rPr>
      <w:t>3</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0F" w:rsidRDefault="00647F0F">
      <w:pPr>
        <w:spacing w:after="0" w:line="240" w:lineRule="auto"/>
      </w:pPr>
      <w:r>
        <w:separator/>
      </w:r>
    </w:p>
  </w:footnote>
  <w:footnote w:type="continuationSeparator" w:id="0">
    <w:p w:rsidR="00647F0F" w:rsidRDefault="0064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5D5524"/>
    <w:rsid w:val="00647F0F"/>
    <w:rsid w:val="00734593"/>
    <w:rsid w:val="007703C4"/>
    <w:rsid w:val="008F5B4C"/>
    <w:rsid w:val="00CF576B"/>
    <w:rsid w:val="00D72F36"/>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2021-08-30T15:17:00Z</dcterms:created>
  <dcterms:modified xsi:type="dcterms:W3CDTF">2021-08-30T15:17:00Z</dcterms:modified>
</cp:coreProperties>
</file>