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4C" w:rsidRDefault="00CF576B">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ANEXO XII</w:t>
      </w:r>
    </w:p>
    <w:p w:rsidR="008F5B4C" w:rsidRDefault="00CF576B">
      <w:pPr>
        <w:widowControl w:val="0"/>
        <w:spacing w:before="280" w:after="0" w:line="240" w:lineRule="auto"/>
        <w:jc w:val="center"/>
        <w:rPr>
          <w:rFonts w:ascii="Times New Roman" w:eastAsia="Times New Roman" w:hAnsi="Times New Roman" w:cs="Times New Roman"/>
          <w:b/>
        </w:rPr>
      </w:pPr>
      <w:r>
        <w:rPr>
          <w:rFonts w:ascii="Times New Roman" w:eastAsia="Times New Roman" w:hAnsi="Times New Roman" w:cs="Times New Roman"/>
          <w:b/>
        </w:rPr>
        <w:t>MANUAL DE PRESTAÇÃO DE CONTAS</w:t>
      </w:r>
    </w:p>
    <w:p w:rsidR="008F5B4C" w:rsidRDefault="00CF576B" w:rsidP="00CF576B">
      <w:pPr>
        <w:widowControl w:val="0"/>
        <w:numPr>
          <w:ilvl w:val="0"/>
          <w:numId w:val="29"/>
        </w:numPr>
        <w:spacing w:before="280" w:after="0" w:line="240" w:lineRule="auto"/>
        <w:jc w:val="both"/>
        <w:rPr>
          <w:rFonts w:ascii="Times New Roman" w:eastAsia="Times New Roman" w:hAnsi="Times New Roman" w:cs="Times New Roman"/>
          <w:b/>
        </w:rPr>
      </w:pPr>
      <w:r>
        <w:rPr>
          <w:rFonts w:ascii="Times New Roman" w:eastAsia="Times New Roman" w:hAnsi="Times New Roman" w:cs="Times New Roman"/>
          <w:b/>
        </w:rPr>
        <w:t>INTRODUÇÃO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Este manual tem como objetivo fornecer orientações às Organizações da Sociedade Civil quanto aos procedimentos a serem adotados nas parcerias celebradas com o CAU/SP, no que se refere ao recebimento, utilização e prestação de contas dos recursos recebidos.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 prestação de contas relativa aos recursos recebidos por meio de parcerias celebradas entre os órgãos da Administração Pública e as Organizações da Sociedade Civil é regida pelas disposições da Lei 13.019, de 31 de julho de 2014 e suas alterações e pelo Decreto nº 8.726, de 27 de abril de 2016 e, no âmbito interno do CAU/SP, pela Portaria nº 100, de 23 de junho de 2016, alterada pela Portaria CAU/SP n.º 155, de 22 de março de 2018.</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Muito embora o presente documento tenha por premissas a simplificação e racionalização dos procedimentos relativos à prestação de contas, conforme previsão do §1º, do art. 63, da Lei 13.019, de 2014, deve-se alertar que a leitura dos dispositivos legais e demais normativos constituem uma ação essencial e indispensável para garantir maior profundidade e detalhamento nas análises.</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 prestação de contas deverá ser feita observando-se, além das regras previstas na legislação em referência, os prazos e normas de elaboração constantes do instrumento de parceria e do plano de trabalho.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0"/>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DO RECEBIMENTO DE RECURSOS FINANCEIROS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1"/>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liberação de recursos obedecerá ao cronograma de desembolso que guardará consonância com as metas da parceria.  </w:t>
      </w:r>
    </w:p>
    <w:p w:rsidR="008F5B4C" w:rsidRDefault="008F5B4C">
      <w:pPr>
        <w:widowControl w:val="0"/>
        <w:spacing w:after="0" w:line="240" w:lineRule="auto"/>
        <w:ind w:left="420"/>
        <w:jc w:val="both"/>
        <w:rPr>
          <w:rFonts w:ascii="Times New Roman" w:eastAsia="Times New Roman" w:hAnsi="Times New Roman" w:cs="Times New Roman"/>
        </w:rPr>
      </w:pPr>
    </w:p>
    <w:p w:rsidR="008F5B4C" w:rsidRDefault="00CF576B" w:rsidP="00CF576B">
      <w:pPr>
        <w:widowControl w:val="0"/>
        <w:numPr>
          <w:ilvl w:val="2"/>
          <w:numId w:val="29"/>
        </w:numPr>
        <w:spacing w:after="0" w:line="240" w:lineRule="auto"/>
        <w:ind w:left="567" w:hanging="11"/>
        <w:jc w:val="both"/>
        <w:rPr>
          <w:rFonts w:ascii="Times New Roman" w:eastAsia="Times New Roman" w:hAnsi="Times New Roman" w:cs="Times New Roman"/>
        </w:rPr>
      </w:pPr>
      <w:r>
        <w:rPr>
          <w:rFonts w:ascii="Times New Roman" w:eastAsia="Times New Roman" w:hAnsi="Times New Roman" w:cs="Times New Roman"/>
        </w:rPr>
        <w:t>Os recursos serão depositados em conta corrente específica, isenta de tarifa bancária, em instituição financeira pública. </w:t>
      </w:r>
    </w:p>
    <w:p w:rsidR="008F5B4C" w:rsidRDefault="008F5B4C">
      <w:pPr>
        <w:widowControl w:val="0"/>
        <w:spacing w:after="0" w:line="240" w:lineRule="auto"/>
        <w:ind w:left="567" w:hanging="11"/>
        <w:jc w:val="both"/>
        <w:rPr>
          <w:rFonts w:ascii="Times New Roman" w:eastAsia="Times New Roman" w:hAnsi="Times New Roman" w:cs="Times New Roman"/>
        </w:rPr>
      </w:pPr>
    </w:p>
    <w:p w:rsidR="008F5B4C" w:rsidRDefault="00CF576B" w:rsidP="00CF576B">
      <w:pPr>
        <w:widowControl w:val="0"/>
        <w:numPr>
          <w:ilvl w:val="2"/>
          <w:numId w:val="29"/>
        </w:numPr>
        <w:spacing w:after="0" w:line="240" w:lineRule="auto"/>
        <w:ind w:left="567" w:hanging="11"/>
        <w:jc w:val="both"/>
        <w:rPr>
          <w:rFonts w:ascii="Times New Roman" w:eastAsia="Times New Roman" w:hAnsi="Times New Roman" w:cs="Times New Roman"/>
        </w:rPr>
      </w:pPr>
      <w:r>
        <w:rPr>
          <w:rFonts w:ascii="Times New Roman" w:eastAsia="Times New Roman" w:hAnsi="Times New Roman" w:cs="Times New Roman"/>
        </w:rPr>
        <w:t>Os recursos serão automaticamente aplicados em cadernetas de poupança, fundo de aplicação financeira de curto prazo ou operação de mercado aberto lastreada em títulos da dívida pública, enquanto não empregados na sua finalidade.  </w:t>
      </w:r>
    </w:p>
    <w:p w:rsidR="008F5B4C" w:rsidRDefault="008F5B4C">
      <w:pPr>
        <w:widowControl w:val="0"/>
        <w:spacing w:after="0" w:line="240" w:lineRule="auto"/>
        <w:ind w:left="720"/>
        <w:jc w:val="both"/>
        <w:rPr>
          <w:rFonts w:ascii="Times New Roman" w:eastAsia="Times New Roman" w:hAnsi="Times New Roman" w:cs="Times New Roman"/>
        </w:rPr>
      </w:pPr>
    </w:p>
    <w:p w:rsidR="008F5B4C" w:rsidRDefault="00CF576B" w:rsidP="00CF576B">
      <w:pPr>
        <w:widowControl w:val="0"/>
        <w:numPr>
          <w:ilvl w:val="1"/>
          <w:numId w:val="29"/>
        </w:numPr>
        <w:spacing w:after="0" w:line="240" w:lineRule="auto"/>
        <w:jc w:val="both"/>
        <w:rPr>
          <w:rFonts w:ascii="Times New Roman" w:eastAsia="Times New Roman" w:hAnsi="Times New Roman" w:cs="Times New Roman"/>
        </w:rPr>
      </w:pPr>
      <w:bookmarkStart w:id="0" w:name="bookmark=id.44sinio" w:colFirst="0" w:colLast="0"/>
      <w:bookmarkEnd w:id="0"/>
      <w:r>
        <w:rPr>
          <w:rFonts w:ascii="Times New Roman" w:eastAsia="Times New Roman" w:hAnsi="Times New Roman" w:cs="Times New Roman"/>
        </w:rPr>
        <w:t xml:space="preserve">As liberações de parcelas serão retidas nas seguintes hipóteses: </w:t>
      </w:r>
    </w:p>
    <w:p w:rsidR="008F5B4C" w:rsidRDefault="008F5B4C">
      <w:pPr>
        <w:widowControl w:val="0"/>
        <w:spacing w:after="0" w:line="240" w:lineRule="auto"/>
        <w:ind w:left="420"/>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quando houver evidências de irregularidade na aplicação de parcela anteriormente recebida;           </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II - quando constatado desvio de finalidade na aplicação dos recursos ou o inadimplemento da Organização da Sociedade Civil em relação a obrigações estabelecidas no termo de colaboração ou de fomento;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 quando a Organização da Sociedade Civil deixar de adotar sem justificativa suficiente as medidas saneadoras apontadas pelo CAU/SP ou pelos órgãos de controle interno ou externo.  </w:t>
      </w:r>
    </w:p>
    <w:p w:rsidR="008F5B4C" w:rsidRDefault="008F5B4C">
      <w:pPr>
        <w:widowControl w:val="0"/>
        <w:spacing w:after="0" w:line="240" w:lineRule="auto"/>
        <w:ind w:left="420"/>
        <w:jc w:val="both"/>
        <w:rPr>
          <w:rFonts w:ascii="Times New Roman" w:eastAsia="Times New Roman" w:hAnsi="Times New Roman" w:cs="Times New Roman"/>
        </w:rPr>
      </w:pPr>
    </w:p>
    <w:p w:rsidR="008F5B4C" w:rsidRDefault="00CF576B" w:rsidP="00CF576B">
      <w:pPr>
        <w:widowControl w:val="0"/>
        <w:numPr>
          <w:ilvl w:val="1"/>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A verificação das hipóteses de retenção previstas no item 2.2, ocorrerá por meio de ações de monitoramento e avaliação, incluindo:</w:t>
      </w:r>
    </w:p>
    <w:p w:rsidR="008F5B4C" w:rsidRDefault="008F5B4C">
      <w:pPr>
        <w:widowControl w:val="0"/>
        <w:spacing w:after="0" w:line="240" w:lineRule="auto"/>
        <w:ind w:left="420"/>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a verificação da existência de denúncias aceitas;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 a análise das prestações de contas anuais, conforme o Relatório Técnico de Monitoramento e Avaliação;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III - as medidas adotadas para atender a eventuais recomendações existentes dos órgãos de controle interno e externo; e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 a consulta aos cadastros e sistemas federais que permitam aferir a regularidade da parceria.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1"/>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 atraso injustificado no cumprimento de metas pactuadas no plano de trabalho configura inadimplemento de obrigação estabelecida no termo de fomento ou de colaboração.</w:t>
      </w:r>
    </w:p>
    <w:p w:rsidR="008F5B4C" w:rsidRDefault="00CF576B">
      <w:pPr>
        <w:widowControl w:val="0"/>
        <w:spacing w:after="0" w:line="240" w:lineRule="auto"/>
        <w:ind w:left="420"/>
        <w:jc w:val="both"/>
        <w:rPr>
          <w:rFonts w:ascii="Times New Roman" w:eastAsia="Times New Roman" w:hAnsi="Times New Roman" w:cs="Times New Roman"/>
          <w:color w:val="00B050"/>
        </w:rPr>
      </w:pPr>
      <w:r>
        <w:rPr>
          <w:rFonts w:ascii="Times New Roman" w:eastAsia="Times New Roman" w:hAnsi="Times New Roman" w:cs="Times New Roman"/>
          <w:color w:val="00B050"/>
        </w:rPr>
        <w:t> </w:t>
      </w:r>
    </w:p>
    <w:p w:rsidR="008F5B4C" w:rsidRDefault="00CF576B" w:rsidP="00CF576B">
      <w:pPr>
        <w:widowControl w:val="0"/>
        <w:numPr>
          <w:ilvl w:val="1"/>
          <w:numId w:val="29"/>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As parcerias com recursos depositados em conta corrente específica e não utilizados no prazo de trezentos e sessenta e cinco dias deverão ser rescindidas na forma prevista no inciso II, do Item 6.11, do presente Manual.</w:t>
      </w:r>
    </w:p>
    <w:p w:rsidR="008F5B4C" w:rsidRDefault="008F5B4C">
      <w:pPr>
        <w:widowControl w:val="0"/>
        <w:spacing w:after="0" w:line="240" w:lineRule="auto"/>
        <w:ind w:left="420"/>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2.6.  O disposto no item 2.5 poderá ser excepcionado quando houver execução parcial do objeto, desde que previamente justificado pelo gestor da parceria e autorizado pelo Presidente do CAU/SP.  </w:t>
      </w:r>
    </w:p>
    <w:p w:rsidR="008F5B4C" w:rsidRDefault="00CF576B">
      <w:pPr>
        <w:widowControl w:val="0"/>
        <w:spacing w:after="0" w:line="240" w:lineRule="auto"/>
        <w:jc w:val="both"/>
        <w:rPr>
          <w:rFonts w:ascii="Times New Roman" w:eastAsia="Times New Roman" w:hAnsi="Times New Roman" w:cs="Times New Roman"/>
        </w:rPr>
      </w:pPr>
      <w:bookmarkStart w:id="1" w:name="bookmark=id.2jxsxqh" w:colFirst="0" w:colLast="0"/>
      <w:bookmarkEnd w:id="1"/>
      <w:r>
        <w:rPr>
          <w:rFonts w:ascii="Times New Roman" w:eastAsia="Times New Roman" w:hAnsi="Times New Roman" w:cs="Times New Roman"/>
        </w:rPr>
        <w:t>2.7.  Os recursos da parceria geridos pelas Organizações da Sociedade Civil, estão vinculados ao plano de trabalho e não caracterizam receita própria e nem pagamento por prestação de serviços e devem ser alocados nos seus registros contábeis conforme as Normas Brasileiras de Contabilidade.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0"/>
          <w:numId w:val="29"/>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DA UTILIZAÇÃO DOS RECURSOS</w:t>
      </w:r>
    </w:p>
    <w:p w:rsidR="008F5B4C" w:rsidRDefault="008F5B4C">
      <w:pPr>
        <w:widowControl w:val="0"/>
        <w:spacing w:after="0" w:line="240" w:lineRule="auto"/>
        <w:ind w:left="420"/>
        <w:jc w:val="both"/>
        <w:rPr>
          <w:rFonts w:ascii="Times New Roman" w:eastAsia="Times New Roman" w:hAnsi="Times New Roman" w:cs="Times New Roman"/>
          <w:b/>
        </w:rPr>
      </w:pPr>
    </w:p>
    <w:p w:rsidR="008F5B4C" w:rsidRDefault="00CF576B" w:rsidP="00CF576B">
      <w:pPr>
        <w:widowControl w:val="0"/>
        <w:numPr>
          <w:ilvl w:val="1"/>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As compras e contratações de bens e serviços pela Organização da Sociedade Civil com recursos transferidos pela administração pública federal adotarão métodos usualmente utilizados pelo setor privado. </w:t>
      </w:r>
    </w:p>
    <w:p w:rsidR="008F5B4C" w:rsidRDefault="008F5B4C">
      <w:pPr>
        <w:widowControl w:val="0"/>
        <w:spacing w:after="0" w:line="240" w:lineRule="auto"/>
        <w:ind w:left="420"/>
        <w:jc w:val="both"/>
        <w:rPr>
          <w:rFonts w:ascii="Times New Roman" w:eastAsia="Times New Roman" w:hAnsi="Times New Roman" w:cs="Times New Roman"/>
        </w:rPr>
      </w:pPr>
    </w:p>
    <w:p w:rsidR="008F5B4C" w:rsidRDefault="00CF576B" w:rsidP="00CF576B">
      <w:pPr>
        <w:widowControl w:val="0"/>
        <w:numPr>
          <w:ilvl w:val="1"/>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A execução das despesas relacionadas à parceria observará:</w:t>
      </w:r>
    </w:p>
    <w:p w:rsidR="008F5B4C" w:rsidRDefault="008F5B4C">
      <w:pPr>
        <w:widowControl w:val="0"/>
        <w:spacing w:after="0" w:line="240" w:lineRule="auto"/>
        <w:ind w:left="708"/>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a responsabilidade exclusiva da Organização da Sociedade Civil pelo gerenciamento administrativo e financeiro dos recursos recebidos, inclusive no que disser respeito às despesas de custeio, de investimento e de pessoal; 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 a responsabilidade exclusiva da Organização da Sociedade Civil pelo pagamento dos encargos trabalhistas, previdenciários, fiscais e comerciais relacionados à execução do objeto previsto no termo de fomento ou de colaboração, o que não implica responsabilidade solidária ou subsidiária da administração pública federal quanto à inadimplência da Organização da Sociedade Civil em relação ao referido pagamento, aos ônus incidentes sobre o objeto da parceria ou aos danos decorrentes de restrição à sua execução.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3.2.1.  A Organização da Sociedade Civil deverá verificar a compatibilidade entre o valor previsto para realização da despesa, aprovado no plano de trabalho, e o valor efetivo da compra ou contratação. </w:t>
      </w:r>
    </w:p>
    <w:p w:rsidR="008F5B4C" w:rsidRDefault="008F5B4C">
      <w:pPr>
        <w:widowControl w:val="0"/>
        <w:spacing w:after="0" w:line="240" w:lineRule="auto"/>
        <w:ind w:left="567"/>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3.2.2. Se o valor efetivo da compra ou contratação for superior ao previsto no plano de trabalho, a Organização da Sociedade Civil deverá assegurar a compatibilidade do valor efetivo com os novos preços praticados no mercado, inclusive para fins de elaboração de relatório de que trata o art. 56, quando for o caso. </w:t>
      </w:r>
    </w:p>
    <w:p w:rsidR="008F5B4C" w:rsidRDefault="008F5B4C">
      <w:pPr>
        <w:widowControl w:val="0"/>
        <w:spacing w:after="0" w:line="240" w:lineRule="auto"/>
        <w:ind w:left="567"/>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3.2.3. Será facultada às Organizações da Sociedade Civil a utilização do portal de compras disponibilizado pela administração pública federal.</w:t>
      </w:r>
    </w:p>
    <w:p w:rsidR="008F5B4C" w:rsidRDefault="008F5B4C">
      <w:pPr>
        <w:widowControl w:val="0"/>
        <w:spacing w:after="0" w:line="240" w:lineRule="auto"/>
        <w:ind w:left="567"/>
        <w:jc w:val="both"/>
        <w:rPr>
          <w:rFonts w:ascii="Times New Roman" w:eastAsia="Times New Roman" w:hAnsi="Times New Roman" w:cs="Times New Roman"/>
        </w:rPr>
      </w:pPr>
    </w:p>
    <w:p w:rsidR="008F5B4C" w:rsidRDefault="00CF576B" w:rsidP="00CF576B">
      <w:pPr>
        <w:widowControl w:val="0"/>
        <w:numPr>
          <w:ilvl w:val="1"/>
          <w:numId w:val="2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As Organizações da Sociedade Civil deverão obter de seus fornecedores e prestadores de serviços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rsidR="008F5B4C" w:rsidRDefault="008F5B4C">
      <w:pPr>
        <w:widowControl w:val="0"/>
        <w:spacing w:after="0" w:line="240" w:lineRule="auto"/>
        <w:jc w:val="both"/>
        <w:rPr>
          <w:rFonts w:ascii="Times New Roman" w:eastAsia="Times New Roman" w:hAnsi="Times New Roman" w:cs="Times New Roman"/>
          <w:strike/>
        </w:rPr>
      </w:pPr>
    </w:p>
    <w:p w:rsidR="008F5B4C" w:rsidRDefault="00CF576B" w:rsidP="00CF576B">
      <w:pPr>
        <w:widowControl w:val="0"/>
        <w:numPr>
          <w:ilvl w:val="1"/>
          <w:numId w:val="29"/>
        </w:numPr>
        <w:spacing w:after="0" w:line="240" w:lineRule="auto"/>
        <w:jc w:val="both"/>
        <w:rPr>
          <w:rFonts w:ascii="Times New Roman" w:eastAsia="Times New Roman" w:hAnsi="Times New Roman" w:cs="Times New Roman"/>
        </w:rPr>
      </w:pPr>
      <w:bookmarkStart w:id="2" w:name="bookmark=id.z337ya" w:colFirst="0" w:colLast="0"/>
      <w:bookmarkEnd w:id="2"/>
      <w:r>
        <w:rPr>
          <w:rFonts w:ascii="Times New Roman" w:eastAsia="Times New Roman" w:hAnsi="Times New Roman" w:cs="Times New Roman"/>
        </w:rPr>
        <w:t>Os pagamentos deverão ser realizados mediante transferência eletrônica sujeita à identificação do beneficiário final e a obrigatoriedade de depósito em sua conta bancária. </w:t>
      </w:r>
    </w:p>
    <w:p w:rsidR="008F5B4C" w:rsidRDefault="008F5B4C">
      <w:pPr>
        <w:widowControl w:val="0"/>
        <w:spacing w:after="0" w:line="240" w:lineRule="auto"/>
        <w:ind w:left="708"/>
        <w:rPr>
          <w:rFonts w:ascii="Times New Roman" w:eastAsia="Times New Roman" w:hAnsi="Times New Roman" w:cs="Times New Roman"/>
        </w:rPr>
      </w:pPr>
    </w:p>
    <w:p w:rsidR="008F5B4C" w:rsidRDefault="00CF576B">
      <w:pPr>
        <w:widowControl w:val="0"/>
        <w:spacing w:after="0" w:line="240" w:lineRule="auto"/>
        <w:ind w:left="420"/>
        <w:jc w:val="both"/>
        <w:rPr>
          <w:rFonts w:ascii="Times New Roman" w:eastAsia="Times New Roman" w:hAnsi="Times New Roman" w:cs="Times New Roman"/>
        </w:rPr>
      </w:pPr>
      <w:r>
        <w:rPr>
          <w:rFonts w:ascii="Times New Roman" w:eastAsia="Times New Roman" w:hAnsi="Times New Roman" w:cs="Times New Roman"/>
        </w:rPr>
        <w:t>3.4.1. Os pagamentos deverão ser realizados mediante crédito na conta bancária de titularidade dos fornecedores e prestadores de serviços.</w:t>
      </w:r>
    </w:p>
    <w:p w:rsidR="008F5B4C" w:rsidRDefault="00CF576B" w:rsidP="00CF576B">
      <w:pPr>
        <w:widowControl w:val="0"/>
        <w:numPr>
          <w:ilvl w:val="1"/>
          <w:numId w:val="29"/>
        </w:numPr>
        <w:tabs>
          <w:tab w:val="left" w:pos="567"/>
        </w:tabs>
        <w:spacing w:before="280" w:after="28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Será admitido o pagamento em espécie, após saque à conta bancária específica da parceria, na hipótese de impossibilidade de pagamento mediante transferência eletrônica mediante justificativa apresentada pela Organização da Sociedade Civil no Plano de Trabalho, que que poderá estar relacionada, dentre outros motivos, com: </w:t>
      </w:r>
    </w:p>
    <w:p w:rsidR="008F5B4C" w:rsidRDefault="00CF576B">
      <w:pPr>
        <w:widowControl w:val="0"/>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I - o objeto da parceria; </w:t>
      </w:r>
    </w:p>
    <w:p w:rsidR="008F5B4C" w:rsidRDefault="00CF576B">
      <w:pPr>
        <w:widowControl w:val="0"/>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II - a região onde se desenvolverão as ações da parceria; ou</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 a natureza dos serviços a serem prestados na execução da parceria.</w:t>
      </w:r>
    </w:p>
    <w:p w:rsidR="008F5B4C" w:rsidRDefault="008F5B4C">
      <w:pPr>
        <w:widowControl w:val="0"/>
        <w:spacing w:after="0" w:line="240" w:lineRule="auto"/>
        <w:ind w:left="420"/>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3.5.1  Os pagamentos em espécie estarão restritos ao limite individual de R$ 1.800,00 (mil e oitocentos reais) por beneficiário, levando-se em conta toda a duração da parceria.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bookmarkStart w:id="3" w:name="bookmark=id.3j2qqm3" w:colFirst="0" w:colLast="0"/>
      <w:bookmarkEnd w:id="3"/>
      <w:r>
        <w:rPr>
          <w:rFonts w:ascii="Times New Roman" w:eastAsia="Times New Roman" w:hAnsi="Times New Roman" w:cs="Times New Roman"/>
        </w:rPr>
        <w:t>3.6.  Os custos indiretos necessários à execução do objeto, desde que admitidas, poderão incluir, entre outras despesas, aquelas com internet, transporte, aluguel, telefone, consumo de água e luz e remuneração de serviços contábeis e de assessoria jurídica.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3.7.  A Organização da Sociedade Civil somente poderá pagar despesa em data posterior ao término da execução do termo de fomento ou de colaboração quando o fato gerador da despesa tiver ocorrido durante sua vigência.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bookmarkStart w:id="4" w:name="bookmark=id.1y810tw" w:colFirst="0" w:colLast="0"/>
      <w:bookmarkStart w:id="5" w:name="bookmark=id.4i7ojhp" w:colFirst="0" w:colLast="0"/>
      <w:bookmarkEnd w:id="4"/>
      <w:bookmarkEnd w:id="5"/>
      <w:r>
        <w:rPr>
          <w:rFonts w:ascii="Times New Roman" w:eastAsia="Times New Roman" w:hAnsi="Times New Roman" w:cs="Times New Roman"/>
        </w:rPr>
        <w:t>3.8.  Poderão ser pagas com recursos vinculados à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estejam previstos no plano de trabalho e sejam proporcionais ao tempo efetivamente dedicado à parceria; 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w:t>
      </w:r>
      <w:r>
        <w:rPr>
          <w:rFonts w:ascii="Times New Roman" w:eastAsia="Times New Roman" w:hAnsi="Times New Roman" w:cs="Times New Roman"/>
          <w:b/>
        </w:rPr>
        <w:t xml:space="preserve"> </w:t>
      </w:r>
      <w:r>
        <w:rPr>
          <w:rFonts w:ascii="Times New Roman" w:eastAsia="Times New Roman" w:hAnsi="Times New Roman" w:cs="Times New Roman"/>
        </w:rPr>
        <w:t>sejam compatíveis com o valor de mercado e observem os acordos e as convenções coletivas de trabalho e, em seu valor bruto e individual, o teto da remuneração do Poder Executivo federal.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3.8.1.  Nos casos em que a remuneração for paga proporcionalmente com recursos da parceria, a </w:t>
      </w:r>
      <w:r>
        <w:rPr>
          <w:rFonts w:ascii="Times New Roman" w:eastAsia="Times New Roman" w:hAnsi="Times New Roman" w:cs="Times New Roman"/>
        </w:rPr>
        <w:lastRenderedPageBreak/>
        <w:t>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 </w:t>
      </w:r>
    </w:p>
    <w:p w:rsidR="008F5B4C" w:rsidRDefault="008F5B4C">
      <w:pPr>
        <w:widowControl w:val="0"/>
        <w:spacing w:after="0" w:line="240" w:lineRule="auto"/>
        <w:ind w:left="567"/>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3.8.2.  Poderão ser pagas diárias referentes a deslocamento, hospedagem e alimentação, nos casos em que a execução do objeto da parceria assim o exigir, para a equipe de trabalho e para os prestadores de serviço voluntário, nos termos da </w:t>
      </w:r>
      <w:hyperlink r:id="rId8">
        <w:r>
          <w:rPr>
            <w:rFonts w:ascii="Times New Roman" w:eastAsia="Times New Roman" w:hAnsi="Times New Roman" w:cs="Times New Roman"/>
          </w:rPr>
          <w:t>Lei n</w:t>
        </w:r>
      </w:hyperlink>
      <w:hyperlink r:id="rId9">
        <w:r>
          <w:rPr>
            <w:rFonts w:ascii="Times New Roman" w:eastAsia="Times New Roman" w:hAnsi="Times New Roman" w:cs="Times New Roman"/>
            <w:strike/>
          </w:rPr>
          <w:t>º</w:t>
        </w:r>
      </w:hyperlink>
      <w:hyperlink r:id="rId10">
        <w:r>
          <w:rPr>
            <w:rFonts w:ascii="Times New Roman" w:eastAsia="Times New Roman" w:hAnsi="Times New Roman" w:cs="Times New Roman"/>
          </w:rPr>
          <w:t xml:space="preserve"> 9.608, de 18 de fevereiro de 1998</w:t>
        </w:r>
      </w:hyperlink>
      <w:r>
        <w:rPr>
          <w:rFonts w:ascii="Times New Roman" w:eastAsia="Times New Roman" w:hAnsi="Times New Roman" w:cs="Times New Roman"/>
        </w:rPr>
        <w:t>. </w:t>
      </w:r>
    </w:p>
    <w:p w:rsidR="008F5B4C" w:rsidRDefault="008F5B4C">
      <w:pPr>
        <w:widowControl w:val="0"/>
        <w:spacing w:after="0" w:line="240" w:lineRule="auto"/>
        <w:ind w:left="567"/>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3.8.3.  O pagamento das verbas rescisórias de que trata o item 3.8, ainda que após o término da execução da parceria, será proporcional ao período de atuação do profissional na execução das metas previstas no plano de trabalho.  </w:t>
      </w:r>
    </w:p>
    <w:p w:rsidR="008F5B4C" w:rsidRDefault="008F5B4C">
      <w:pPr>
        <w:widowControl w:val="0"/>
        <w:spacing w:after="0" w:line="240" w:lineRule="auto"/>
        <w:ind w:left="567"/>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3.8.4.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 80.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3.9.  Para fins deste Manual,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3.9.1.  É vedado à administração pública federal praticar atos de ingerência na seleção e na contratação de pessoal pela Organização da Sociedade Civil ou que direcionem o recrutamento de pessoas para trabalhar ou prestar serviços na referida organização.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3.10. A inadimplência do CAU/SP não transfere à Organização da Sociedade Civil a responsabilidade pelo pagamento de obrigações vinculadas à parceria com recursos próprios.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3.11.  A inadimplência da Organização da Sociedade Civil em decorrência de atrasos na liberação de repasses relacionados à parceria não poderá acarretar restrições à liberação de parcelas subsequentes.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3.12.  O pagamento de remuneração da equipe contratada pela Organização da Sociedade Civil com recursos da parceria não gera vínculo trabalhista com o CAU/SP.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1"/>
          <w:numId w:val="2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Organização da Sociedade Civil poderá proceder a aquisição de equipamentos e materiais permanentes essenciais à consecução do objeto e serviços de adequação de espaço físico, desde que necessários à instalação dos referidos equipamentos e materiais, observado o disposto no Art. 23 do Decreto 8.726, de 2016.</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1"/>
          <w:numId w:val="2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Fica vedada a utilização de recursos para:</w:t>
      </w:r>
    </w:p>
    <w:p w:rsidR="008F5B4C" w:rsidRDefault="00CF576B">
      <w:pPr>
        <w:widowControl w:val="0"/>
        <w:spacing w:after="0" w:line="240" w:lineRule="auto"/>
        <w:ind w:left="420"/>
        <w:jc w:val="both"/>
        <w:rPr>
          <w:rFonts w:ascii="Times New Roman" w:eastAsia="Times New Roman" w:hAnsi="Times New Roman" w:cs="Times New Roman"/>
        </w:rPr>
      </w:pPr>
      <w:r>
        <w:rPr>
          <w:rFonts w:ascii="Times New Roman" w:eastAsia="Times New Roman" w:hAnsi="Times New Roman" w:cs="Times New Roman"/>
        </w:rPr>
        <w:t xml:space="preserve"> </w:t>
      </w: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finalidade alheia ao objeto da parceria;           </w:t>
      </w:r>
      <w:bookmarkStart w:id="6" w:name="bookmark=id.2xcytpi" w:colFirst="0" w:colLast="0"/>
      <w:bookmarkEnd w:id="6"/>
      <w:r>
        <w:rPr>
          <w:rFonts w:ascii="Times New Roman" w:eastAsia="Times New Roman" w:hAnsi="Times New Roman" w:cs="Times New Roman"/>
        </w:rPr>
        <w:t xml:space="preserve">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 pagar, a qualquer título, servidor ou empregado público com recursos vinculados à parceria, salvo nas hipóteses previstas em lei específica e na lei de diretrizes orçamentárias;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3.15. As Organizações da Sociedade Civil deverão incluir os elementos indicativos da mensuração da compatibilidade dos custos apresentados com os preços praticados no mercado ou com outras parcerias da mesma natureza, tais como cotações, tabelas de preços de associações profissionais, publicações </w:t>
      </w:r>
      <w:r>
        <w:rPr>
          <w:rFonts w:ascii="Times New Roman" w:eastAsia="Times New Roman" w:hAnsi="Times New Roman" w:cs="Times New Roman"/>
        </w:rPr>
        <w:lastRenderedPageBreak/>
        <w:t>especializadas ou quaisquer outras fontes de informação disponíveis ao público.</w:t>
      </w:r>
    </w:p>
    <w:p w:rsidR="008F5B4C" w:rsidRDefault="008F5B4C">
      <w:pPr>
        <w:widowControl w:val="0"/>
        <w:spacing w:after="0" w:line="240" w:lineRule="auto"/>
        <w:jc w:val="both"/>
        <w:rPr>
          <w:rFonts w:ascii="Times New Roman" w:eastAsia="Times New Roman" w:hAnsi="Times New Roman" w:cs="Times New Roman"/>
        </w:rPr>
      </w:pP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DA PRESTAÇÃO DE CONTAS</w:t>
      </w:r>
    </w:p>
    <w:p w:rsidR="008F5B4C" w:rsidRDefault="008F5B4C">
      <w:pPr>
        <w:widowControl w:val="0"/>
        <w:spacing w:after="0" w:line="240" w:lineRule="auto"/>
        <w:jc w:val="both"/>
        <w:rPr>
          <w:rFonts w:ascii="Times New Roman" w:eastAsia="Times New Roman" w:hAnsi="Times New Roman" w:cs="Times New Roman"/>
          <w:b/>
        </w:rPr>
      </w:pPr>
    </w:p>
    <w:p w:rsidR="008F5B4C" w:rsidRDefault="00CF576B" w:rsidP="00CF576B">
      <w:pPr>
        <w:widowControl w:val="0"/>
        <w:numPr>
          <w:ilvl w:val="1"/>
          <w:numId w:val="2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Organização da Sociedade Civil, para prestação de contas anual ou final, deverá apresentar os seguintes documentos: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0"/>
          <w:numId w:val="1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Relatório Final de Execução do Objeto (Apenso 1 do presente Manual), no prazo de até 30 (trinta) dias, a contar do término da execução da parceria, prorrogável por até quinze dias, mediante justificativa e solicitação prévia da Organização da Sociedade Civil, o qual deverá conter:</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 - a demonstração do alcance das metas referentes ao período de que trata a prestação de contas;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II - a descrição das ações desenvolvidas para o cumprimento do objeto;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III - os documentos de comprovação do cumprimento do objeto, como listas de presença, fotos, vídeos, entre outros;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 os documentos de comprovação do cumprimento da contrapartida, quando houver;</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V – os elementos que demonstrem os impactos econômicos ou sociais das ações desenvolvidas;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VI - os elementos que demonstrem o grau de satisfação do público-alvo, que poderá ser indicado por meio de pesquisa de satisfação, declaração de entidade pública ou privada local e declaração do conselho de política pública setorial, entre outros; 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VII - os elementos que demonstrem a possibilidade de sustentabilidade das ações após a conclusão do objeto;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VIII – o comprovante de devolução de eventual saldo remanescente;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IX – a previsão de reserva de recursos para pagamento das verbas rescisórias.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2"/>
          <w:numId w:val="27"/>
        </w:numPr>
        <w:spacing w:after="0" w:line="240" w:lineRule="auto"/>
        <w:ind w:hanging="10"/>
        <w:jc w:val="both"/>
        <w:rPr>
          <w:rFonts w:ascii="Times New Roman" w:eastAsia="Times New Roman" w:hAnsi="Times New Roman" w:cs="Times New Roman"/>
        </w:rPr>
      </w:pPr>
      <w:r>
        <w:rPr>
          <w:rFonts w:ascii="Times New Roman" w:eastAsia="Times New Roman" w:hAnsi="Times New Roman" w:cs="Times New Roman"/>
        </w:rPr>
        <w:t>Para demonstração dos elementos de que tratam os incisos V a VII, da alínea a, do item 4.1, a Organização do Sociedade Civil deverá se utilizar de documentos ou outros meios previstos no plano de trabalho.</w:t>
      </w:r>
    </w:p>
    <w:p w:rsidR="008F5B4C" w:rsidRDefault="008F5B4C">
      <w:pPr>
        <w:widowControl w:val="0"/>
        <w:spacing w:after="0" w:line="240" w:lineRule="auto"/>
        <w:ind w:left="720" w:hanging="10"/>
        <w:jc w:val="both"/>
        <w:rPr>
          <w:rFonts w:ascii="Times New Roman" w:eastAsia="Times New Roman" w:hAnsi="Times New Roman" w:cs="Times New Roman"/>
        </w:rPr>
      </w:pPr>
    </w:p>
    <w:p w:rsidR="008F5B4C" w:rsidRDefault="00CF576B" w:rsidP="00CF576B">
      <w:pPr>
        <w:widowControl w:val="0"/>
        <w:numPr>
          <w:ilvl w:val="2"/>
          <w:numId w:val="27"/>
        </w:numPr>
        <w:spacing w:after="0" w:line="240" w:lineRule="auto"/>
        <w:ind w:hanging="10"/>
        <w:jc w:val="both"/>
        <w:rPr>
          <w:rFonts w:ascii="Times New Roman" w:eastAsia="Times New Roman" w:hAnsi="Times New Roman" w:cs="Times New Roman"/>
        </w:rPr>
      </w:pPr>
      <w:r>
        <w:rPr>
          <w:rFonts w:ascii="Times New Roman" w:eastAsia="Times New Roman" w:hAnsi="Times New Roman" w:cs="Times New Roman"/>
        </w:rPr>
        <w:t>A critério do gestor da parceria, as exigências constantes nos incisos V a VII, da alínea a, do item 4.1 poderão ser dispensadas quando a exigência for desproporcional à complexidade da parceria ou ao interesse público, mediante prévia justificativa.</w:t>
      </w:r>
    </w:p>
    <w:p w:rsidR="008F5B4C" w:rsidRDefault="008F5B4C">
      <w:pPr>
        <w:widowControl w:val="0"/>
        <w:spacing w:after="0" w:line="240" w:lineRule="auto"/>
        <w:ind w:left="708" w:hanging="10"/>
        <w:rPr>
          <w:rFonts w:ascii="Times New Roman" w:eastAsia="Times New Roman" w:hAnsi="Times New Roman" w:cs="Times New Roman"/>
        </w:rPr>
      </w:pPr>
    </w:p>
    <w:p w:rsidR="008F5B4C" w:rsidRDefault="00CF576B" w:rsidP="00CF576B">
      <w:pPr>
        <w:widowControl w:val="0"/>
        <w:numPr>
          <w:ilvl w:val="2"/>
          <w:numId w:val="27"/>
        </w:numPr>
        <w:spacing w:after="0" w:line="240" w:lineRule="auto"/>
        <w:ind w:hanging="10"/>
        <w:jc w:val="both"/>
        <w:rPr>
          <w:rFonts w:ascii="Times New Roman" w:eastAsia="Times New Roman" w:hAnsi="Times New Roman" w:cs="Times New Roman"/>
        </w:rPr>
      </w:pPr>
      <w:r>
        <w:rPr>
          <w:rFonts w:ascii="Times New Roman" w:eastAsia="Times New Roman" w:hAnsi="Times New Roman" w:cs="Times New Roman"/>
        </w:rPr>
        <w:t>A Organização da Sociedade Civil deverá apresentar justificativa quando não conseguir alcançar as metas estabelecidas em seu Plano de Trabalho, conforme previsto no inciso I, da alínea a, do item 4.1.</w:t>
      </w:r>
    </w:p>
    <w:p w:rsidR="008F5B4C" w:rsidRDefault="008F5B4C">
      <w:pPr>
        <w:widowControl w:val="0"/>
        <w:spacing w:after="0" w:line="240" w:lineRule="auto"/>
        <w:ind w:left="708"/>
        <w:rPr>
          <w:rFonts w:ascii="Times New Roman" w:eastAsia="Times New Roman" w:hAnsi="Times New Roman" w:cs="Times New Roman"/>
        </w:rPr>
      </w:pPr>
    </w:p>
    <w:p w:rsidR="008F5B4C" w:rsidRDefault="00CF576B" w:rsidP="00CF576B">
      <w:pPr>
        <w:widowControl w:val="0"/>
        <w:numPr>
          <w:ilvl w:val="2"/>
          <w:numId w:val="27"/>
        </w:numPr>
        <w:spacing w:after="0" w:line="240" w:lineRule="auto"/>
        <w:ind w:hanging="10"/>
        <w:jc w:val="both"/>
        <w:rPr>
          <w:rFonts w:ascii="Times New Roman" w:eastAsia="Times New Roman" w:hAnsi="Times New Roman" w:cs="Times New Roman"/>
        </w:rPr>
      </w:pPr>
      <w:r>
        <w:rPr>
          <w:rFonts w:ascii="Times New Roman" w:eastAsia="Times New Roman" w:hAnsi="Times New Roman" w:cs="Times New Roman"/>
        </w:rPr>
        <w:t>O saldo remanescente de que trata o inciso VIII, da alínea a, do item 4.1,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1"/>
          <w:numId w:val="2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a relação das receitas e despesas realizadas, inclusive rendimentos financeiros, que possibilitem a comprovação da observância do plano de trabalho;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II - o comprovante da devolução do saldo remanescente da conta bancária específica, quando houver;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III - o extrato da conta bancária específica;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  memória de cálculo do rateio das despesas, quando for o caso;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V - a relação de bens adquiridos, produzidos ou transformados, quando houver; 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VI - cópia simples das notas e dos comprovantes fiscais ou recibos, inclusive holerites, com data do documento, valor, dados da Organização da Sociedade Civil e do fornecedor e indicação do produto ou serviço.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2"/>
          <w:numId w:val="27"/>
        </w:num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A memória de cálculo referida no inciso IV do item 4.2,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8F5B4C" w:rsidRDefault="008F5B4C">
      <w:pPr>
        <w:widowControl w:val="0"/>
        <w:spacing w:after="0" w:line="240" w:lineRule="auto"/>
        <w:ind w:left="720"/>
        <w:jc w:val="both"/>
        <w:rPr>
          <w:rFonts w:ascii="Times New Roman" w:eastAsia="Times New Roman" w:hAnsi="Times New Roman" w:cs="Times New Roman"/>
        </w:rPr>
      </w:pPr>
    </w:p>
    <w:p w:rsidR="008F5B4C" w:rsidRDefault="00CF576B" w:rsidP="00CF576B">
      <w:pPr>
        <w:widowControl w:val="0"/>
        <w:numPr>
          <w:ilvl w:val="1"/>
          <w:numId w:val="2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 o qual será tratado em item específico deste Manual.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0"/>
          <w:numId w:val="27"/>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DA ANÁLISE DA PRESTAÇÃO DE CONTAS FINAL</w:t>
      </w:r>
    </w:p>
    <w:p w:rsidR="008F5B4C" w:rsidRDefault="008F5B4C">
      <w:pPr>
        <w:widowControl w:val="0"/>
        <w:spacing w:after="0" w:line="240" w:lineRule="auto"/>
        <w:ind w:left="360"/>
        <w:jc w:val="both"/>
        <w:rPr>
          <w:rFonts w:ascii="Times New Roman" w:eastAsia="Times New Roman" w:hAnsi="Times New Roman" w:cs="Times New Roman"/>
          <w:b/>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5.1 </w:t>
      </w:r>
      <w:r>
        <w:rPr>
          <w:rFonts w:ascii="Times New Roman" w:eastAsia="Times New Roman" w:hAnsi="Times New Roman" w:cs="Times New Roman"/>
        </w:rPr>
        <w:t>A análise da prestação de contas final pelo CAU/SP será formalizada por meio de parecer técnico conclusivo, a ser emitido pelo gestor da parceria, que deverá verificar o cumprimento do objeto e o alcance das metas previstas no plano de trabalho e considerará:</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o Relatório Final de Execução do Objeto;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II - os Relatórios Parciais de Execução do Objeto, para parcerias com duração superior a um ano;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III - relatório de visita técnica </w:t>
      </w:r>
      <w:r>
        <w:rPr>
          <w:rFonts w:ascii="Times New Roman" w:eastAsia="Times New Roman" w:hAnsi="Times New Roman" w:cs="Times New Roman"/>
          <w:b/>
        </w:rPr>
        <w:t xml:space="preserve">in </w:t>
      </w:r>
      <w:r>
        <w:rPr>
          <w:rFonts w:ascii="Times New Roman" w:eastAsia="Times New Roman" w:hAnsi="Times New Roman" w:cs="Times New Roman"/>
        </w:rPr>
        <w:t>loco, quando houver; 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IV - relatório técnico de monitoramento e avaliação, quando houver.</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2"/>
          <w:numId w:val="27"/>
        </w:num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Além da análise do cumprimento do objeto e do alcance das metas previstas no plano de trabalho, o gestor da parceria, em seu parecer técnico, avaliará os efeitos da parceria, devendo mencionar os elementos de que trata o § 1</w:t>
      </w:r>
      <w:r>
        <w:rPr>
          <w:rFonts w:ascii="Times New Roman" w:eastAsia="Times New Roman" w:hAnsi="Times New Roman" w:cs="Times New Roman"/>
          <w:strike/>
        </w:rPr>
        <w:t>º</w:t>
      </w:r>
      <w:r>
        <w:rPr>
          <w:rFonts w:ascii="Times New Roman" w:eastAsia="Times New Roman" w:hAnsi="Times New Roman" w:cs="Times New Roman"/>
        </w:rPr>
        <w:t xml:space="preserve"> do art. 55, do Decreto 8.726, de 2016.</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1"/>
          <w:numId w:val="2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Organização da Sociedade Civil deverá apresentar os documentos de que tratam os incisos I e II do item anterior, nos seguintes prazos:</w:t>
      </w:r>
    </w:p>
    <w:p w:rsidR="008F5B4C" w:rsidRDefault="008F5B4C">
      <w:pPr>
        <w:widowControl w:val="0"/>
        <w:spacing w:after="0" w:line="240" w:lineRule="auto"/>
        <w:ind w:left="420"/>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o Relatório Final de Execução do Objeto, no prazo de até trinta dias, contado do término da execução da parceria, conforme estabelecido no instrumento de parceria, prorrogável por até quinze dias, mediante justificativa e solicitação prévia da Organização da Sociedade Civil; 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 o Relatório Final de Execução Financeira, no prazo de até sessenta dias, contado de sua notificação, conforme estabelecido no instrumento de parceria, prorrogável por até quinze dias, mediante justificativa e solicitação prévia da Organização da Sociedade Civil.</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5.3.  O parecer técnico conclusivo da prestação de contas final embasará a decisão da autoridade competente e deverá concluir pela:</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aprovação das contas, quando constatado o cumprimento do objeto e das metas da parceria;</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II - aprovação das contas com ressalvas quando, apesar de cumpridos o objeto e as metas da parceria, for constatada impropriedade ou qualquer outra falta de natureza formal que não resulte em dano ao erário; ou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 rejeição das contas que ocorrerá nas seguintes hipóteses: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a) omissão no dever de prestar contas;</w:t>
      </w:r>
    </w:p>
    <w:p w:rsidR="008F5B4C" w:rsidRDefault="00CF576B">
      <w:pPr>
        <w:widowControl w:val="0"/>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b) descumprimento injustificado do objeto e das metas estabelecidos no plano de trabalho;</w:t>
      </w:r>
    </w:p>
    <w:p w:rsidR="008F5B4C" w:rsidRDefault="00CF576B">
      <w:pPr>
        <w:widowControl w:val="0"/>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c) dano ao erário decorrente de ato de gestão ilegítimo ou antieconômico; ou</w:t>
      </w:r>
    </w:p>
    <w:p w:rsidR="008F5B4C" w:rsidRDefault="00CF576B">
      <w:pPr>
        <w:widowControl w:val="0"/>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d) desfalque ou desvio de dinheiro, bens ou valores públicos.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5.4. A decisão sobre a prestação de contas final caberá ao Presidente do CAU/SP e será publicada no sítio eletrônico do Conselho e na imprensa oficial.</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5.5. Da decisão sobre a prestação de contas final de que trata o subitem 5.3 deste manual poderá a Organização da Sociedade Civil:</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no prazo de 30 (trinta) dias contados da sua notificação, apresentar recurso ao Presidente do CAU/SP, o qual, se não reconsiderar a decisão no prazo de 30 (trinta) dias, encaminhará o recurso ao Plenário do CAU/SP, para decisão final no prazo de 30 (trinta) dias; ou</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 no prazo de 45 (quarenta e cinco) dias, prorrogável, no máximo, por igual período, sanar a irregularidade ou cumprir a obrigação.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5.6. Encerrada a fase recursal, se mantida a decisão, o CAU/SP deverá:</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no caso de aprovação com ressalvas da prestação de contas, dar publicidade no sítio eletrônico do CAU/SP das causas das ressalvas; 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 no caso de rejeição da prestação de contas, notificar a Organização da Sociedade Civil para que, no prazo de trinta dias: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0"/>
          <w:numId w:val="32"/>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devolva os recursos financeiros relacionados com a irregularidade ou inexecução do objeto apurada ou com a prestação de contas não apresentada; ou</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0"/>
          <w:numId w:val="32"/>
        </w:numPr>
        <w:tabs>
          <w:tab w:val="left" w:pos="28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solicitar autorização ao CAU/SP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w:t>
      </w:r>
      <w:r>
        <w:rPr>
          <w:rFonts w:ascii="Times New Roman" w:eastAsia="Times New Roman" w:hAnsi="Times New Roman" w:cs="Times New Roman"/>
        </w:rPr>
        <w:lastRenderedPageBreak/>
        <w:t>desde que não tenha havido dolo ou fraude e não seja o caso de restituição integral dos recursos</w:t>
      </w:r>
    </w:p>
    <w:p w:rsidR="008F5B4C" w:rsidRDefault="008F5B4C">
      <w:pPr>
        <w:widowControl w:val="0"/>
        <w:spacing w:after="0" w:line="240" w:lineRule="auto"/>
        <w:ind w:left="708"/>
        <w:rPr>
          <w:rFonts w:ascii="Times New Roman" w:eastAsia="Times New Roman" w:hAnsi="Times New Roman" w:cs="Times New Roman"/>
        </w:rPr>
      </w:pPr>
    </w:p>
    <w:p w:rsidR="008F5B4C" w:rsidRDefault="00CF576B">
      <w:pPr>
        <w:widowControl w:val="0"/>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5.7. A autorização de que trata a alínea “b” do inciso II, do item 5.6 compete exclusivamente ao Presidente do CAU/SP, que deverá se pronunciar sobre a mesma no prazo de 30 (trinta) dias, não podendo as ações compensatórias de interesse público ultrapassar a metade do prazo previsto para a execução da parceria.</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1"/>
          <w:numId w:val="22"/>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O não cumprimento das previsões contidas no inciso II do item 5.6, ensejará a instauração da tomada de contas especial, nos termos da legislação vigente e o registro da rejeição da prestação de contas e suas causas no sítio eletrônico do CAU/SP, enquanto perdurarem os motivos determinantes da rejeição.</w:t>
      </w:r>
    </w:p>
    <w:p w:rsidR="008F5B4C" w:rsidRDefault="008F5B4C">
      <w:pPr>
        <w:widowControl w:val="0"/>
        <w:spacing w:after="0" w:line="240" w:lineRule="auto"/>
        <w:ind w:firstLine="525"/>
        <w:jc w:val="both"/>
        <w:rPr>
          <w:rFonts w:ascii="Times New Roman" w:eastAsia="Times New Roman" w:hAnsi="Times New Roman" w:cs="Times New Roman"/>
        </w:rPr>
      </w:pPr>
    </w:p>
    <w:p w:rsidR="008F5B4C" w:rsidRDefault="00CF576B" w:rsidP="00CF576B">
      <w:pPr>
        <w:widowControl w:val="0"/>
        <w:numPr>
          <w:ilvl w:val="1"/>
          <w:numId w:val="22"/>
        </w:numPr>
        <w:tabs>
          <w:tab w:val="left" w:pos="0"/>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O prazo para análise da prestação de contas final pelo CAU/SP é de 150 (cento cinquenta) dias, que poderá ser prorrogado mediante justificativa por igual período, não podendo exceder o limite de trezentos dias.</w:t>
      </w:r>
    </w:p>
    <w:p w:rsidR="008F5B4C" w:rsidRDefault="008F5B4C">
      <w:pPr>
        <w:widowControl w:val="0"/>
        <w:tabs>
          <w:tab w:val="left" w:pos="426"/>
        </w:tabs>
        <w:spacing w:after="0" w:line="240" w:lineRule="auto"/>
        <w:jc w:val="both"/>
        <w:rPr>
          <w:rFonts w:ascii="Times New Roman" w:eastAsia="Times New Roman" w:hAnsi="Times New Roman" w:cs="Times New Roman"/>
        </w:rPr>
      </w:pPr>
    </w:p>
    <w:p w:rsidR="008F5B4C" w:rsidRDefault="00CF576B">
      <w:pPr>
        <w:widowControl w:val="0"/>
        <w:tabs>
          <w:tab w:val="left" w:pos="426"/>
        </w:tabs>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5.9.1 Caso o prazo limite máximo previsto no item 5.9, trezentos dias, transcorra sem que as contas tenham sido apreciadas pelo CAU/SP, a Organização da Sociedade Civil poderá participar de outros chamamentos públicos, celebrar novas parcerias, sem prejuízos da aplicação posterior, pelo CAU/SP, de medidas saneadoras, punitivas ou destinadas a ressarcir danos que possam ter sido causados aos cofres públicos.</w:t>
      </w:r>
    </w:p>
    <w:p w:rsidR="008F5B4C" w:rsidRDefault="008F5B4C">
      <w:pPr>
        <w:widowControl w:val="0"/>
        <w:tabs>
          <w:tab w:val="left" w:pos="426"/>
        </w:tabs>
        <w:spacing w:after="0" w:line="240" w:lineRule="auto"/>
        <w:ind w:left="360"/>
        <w:jc w:val="both"/>
        <w:rPr>
          <w:rFonts w:ascii="Times New Roman" w:eastAsia="Times New Roman" w:hAnsi="Times New Roman" w:cs="Times New Roman"/>
        </w:rPr>
      </w:pPr>
    </w:p>
    <w:p w:rsidR="008F5B4C" w:rsidRDefault="00CF576B" w:rsidP="00CF576B">
      <w:pPr>
        <w:widowControl w:val="0"/>
        <w:numPr>
          <w:ilvl w:val="1"/>
          <w:numId w:val="22"/>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Os débitos a serem restituídos pela Organização da Sociedade Civil serão apurados mediante atualização monetária, acrescido de juros calculados da seguinte forma:</w:t>
      </w:r>
    </w:p>
    <w:p w:rsidR="008F5B4C" w:rsidRDefault="008F5B4C">
      <w:pPr>
        <w:widowControl w:val="0"/>
        <w:spacing w:after="0" w:line="240" w:lineRule="auto"/>
        <w:ind w:left="708"/>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nos casos em que for constatado dolo da Organização da Sociedade Civil ou de seus prepostos, os juros serão calculados a partir das datas de liberação dos recursos, sem subtração de eventual período de inércia do CAU/SP quanto ao prazo de análise da prestação de contas; 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 nos demais casos, os juros serão calculados a partir:</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0"/>
          <w:numId w:val="25"/>
        </w:numPr>
        <w:tabs>
          <w:tab w:val="left" w:pos="284"/>
        </w:tabs>
        <w:spacing w:after="0" w:line="240" w:lineRule="auto"/>
        <w:ind w:hanging="10"/>
        <w:jc w:val="both"/>
        <w:rPr>
          <w:rFonts w:ascii="Times New Roman" w:eastAsia="Times New Roman" w:hAnsi="Times New Roman" w:cs="Times New Roman"/>
        </w:rPr>
      </w:pPr>
      <w:r>
        <w:rPr>
          <w:rFonts w:ascii="Times New Roman" w:eastAsia="Times New Roman" w:hAnsi="Times New Roman" w:cs="Times New Roman"/>
        </w:rPr>
        <w:t>do decurso do prazo estabelecido no ato de notificação da Organização da Sociedade Civil ou de seus prepostos para restituição dos valores ocorrida no curso da execução da parceria; ou</w:t>
      </w:r>
    </w:p>
    <w:p w:rsidR="008F5B4C" w:rsidRDefault="008F5B4C">
      <w:pPr>
        <w:widowControl w:val="0"/>
        <w:spacing w:after="0" w:line="240" w:lineRule="auto"/>
        <w:ind w:hanging="11"/>
        <w:jc w:val="both"/>
        <w:rPr>
          <w:rFonts w:ascii="Times New Roman" w:eastAsia="Times New Roman" w:hAnsi="Times New Roman" w:cs="Times New Roman"/>
        </w:rPr>
      </w:pPr>
    </w:p>
    <w:p w:rsidR="008F5B4C" w:rsidRDefault="00CF576B" w:rsidP="00CF576B">
      <w:pPr>
        <w:widowControl w:val="0"/>
        <w:numPr>
          <w:ilvl w:val="0"/>
          <w:numId w:val="25"/>
        </w:numPr>
        <w:tabs>
          <w:tab w:val="left" w:pos="284"/>
        </w:tabs>
        <w:spacing w:after="0" w:line="240" w:lineRule="auto"/>
        <w:ind w:hanging="10"/>
        <w:jc w:val="both"/>
        <w:rPr>
          <w:rFonts w:ascii="Times New Roman" w:eastAsia="Times New Roman" w:hAnsi="Times New Roman" w:cs="Times New Roman"/>
        </w:rPr>
      </w:pPr>
      <w:r>
        <w:rPr>
          <w:rFonts w:ascii="Times New Roman" w:eastAsia="Times New Roman" w:hAnsi="Times New Roman" w:cs="Times New Roman"/>
        </w:rPr>
        <w:t>do término da execução da parceria, caso não tenha havido a notificação de que trata a alínea “a” deste inciso, com subtração de eventual período de inércia da administração pública federal quanto ao prazo de análise da prestação de contas.</w:t>
      </w:r>
    </w:p>
    <w:p w:rsidR="008F5B4C" w:rsidRDefault="008F5B4C">
      <w:pPr>
        <w:widowControl w:val="0"/>
        <w:spacing w:after="0" w:line="240" w:lineRule="auto"/>
        <w:ind w:left="708"/>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5.10.1  Os débitos de que trata o </w:t>
      </w:r>
      <w:r>
        <w:rPr>
          <w:rFonts w:ascii="Times New Roman" w:eastAsia="Times New Roman" w:hAnsi="Times New Roman" w:cs="Times New Roman"/>
          <w:b/>
        </w:rPr>
        <w:t xml:space="preserve">caput </w:t>
      </w:r>
      <w:r>
        <w:rPr>
          <w:rFonts w:ascii="Times New Roman" w:eastAsia="Times New Roman" w:hAnsi="Times New Roman" w:cs="Times New Roman"/>
        </w:rPr>
        <w:t>observarão juros equivalentes à taxa referencial do Sistema Especial de Liquidação e de Custódia - Selic para títulos federais, acumulada mensalmente, até o último dia do mês anterior ao do pagamento, e de um por cento no mês de pagamento.</w:t>
      </w:r>
    </w:p>
    <w:p w:rsidR="008F5B4C" w:rsidRDefault="008F5B4C">
      <w:pPr>
        <w:widowControl w:val="0"/>
        <w:spacing w:after="0" w:line="240" w:lineRule="auto"/>
        <w:ind w:left="567"/>
        <w:jc w:val="both"/>
        <w:rPr>
          <w:rFonts w:ascii="Times New Roman" w:eastAsia="Times New Roman" w:hAnsi="Times New Roman" w:cs="Times New Roman"/>
        </w:rPr>
      </w:pPr>
    </w:p>
    <w:p w:rsidR="008F5B4C" w:rsidRDefault="00CF576B" w:rsidP="00CF576B">
      <w:pPr>
        <w:widowControl w:val="0"/>
        <w:numPr>
          <w:ilvl w:val="0"/>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DA PRESTAÇÃO DE CONTAS ANUAL</w:t>
      </w:r>
    </w:p>
    <w:p w:rsidR="008F5B4C" w:rsidRDefault="008F5B4C">
      <w:pPr>
        <w:widowControl w:val="0"/>
        <w:spacing w:after="0" w:line="240" w:lineRule="auto"/>
        <w:jc w:val="both"/>
        <w:rPr>
          <w:rFonts w:ascii="Times New Roman" w:eastAsia="Times New Roman" w:hAnsi="Times New Roman" w:cs="Times New Roman"/>
          <w:b/>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6.1. Nas parcerias com vigência superior a um ano, a Organização da Sociedade Civil deverá apresentar prestação de contas anual para fins de monitoramento do cumprimento das metas previstas no plano de trabalho.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6.2.  A prestação de contas anual deverá ser apresentada no prazo de até trinta dias após o fim de cada exercício, conforme estabelecido no instrumento da parceria.</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6.3. Para fins do disposto no item 6.2, considera-se exercício cada período de doze meses de duração da </w:t>
      </w:r>
      <w:r>
        <w:rPr>
          <w:rFonts w:ascii="Times New Roman" w:eastAsia="Times New Roman" w:hAnsi="Times New Roman" w:cs="Times New Roman"/>
        </w:rPr>
        <w:lastRenderedPageBreak/>
        <w:t xml:space="preserve">parceria, contado da primeira liberação de recursos para sua execução.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6.4.  A prestação de contas anual consistirá na apresentação do Relatório Parcial de Execução do Objeto, que deverá observar o disposto no item 4.1, “a”, do presente Manual.</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6.5. Na hipótese de omissão no dever de prestação de contas anual, o gestor da parceria notificará a Organização da Sociedade Civil para, no prazo de quinze dias, apresentar a prestação de contas.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6.6.Se persistir a omissão de que trata o § 4</w:t>
      </w:r>
      <w:r>
        <w:rPr>
          <w:rFonts w:ascii="Times New Roman" w:eastAsia="Times New Roman" w:hAnsi="Times New Roman" w:cs="Times New Roman"/>
          <w:strike/>
        </w:rPr>
        <w:t>º</w:t>
      </w:r>
      <w:r>
        <w:rPr>
          <w:rFonts w:ascii="Times New Roman" w:eastAsia="Times New Roman" w:hAnsi="Times New Roman" w:cs="Times New Roman"/>
        </w:rPr>
        <w:t xml:space="preserve">, aplica-se o disposto no </w:t>
      </w:r>
      <w:hyperlink r:id="rId11" w:anchor="art70%C2%A72">
        <w:r>
          <w:rPr>
            <w:rFonts w:ascii="Times New Roman" w:eastAsia="Times New Roman" w:hAnsi="Times New Roman" w:cs="Times New Roman"/>
          </w:rPr>
          <w:t>§ 2º do art. 70 da Lei nº 13.019, de 2014</w:t>
        </w:r>
      </w:hyperlink>
      <w:r>
        <w:rPr>
          <w:rFonts w:ascii="Times New Roman" w:eastAsia="Times New Roman" w:hAnsi="Times New Roman" w:cs="Times New Roman"/>
        </w:rPr>
        <w:t>.</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6.7.  A análise da prestação de contas anual será realizada por meio da produção de relatório técnico de monitoramento e avaliação, considerados os parâmetros a serem definidos pelo CAU/SP e, a qualquer momento, nos seguintes casos:</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for identificado o descumprimento injustificado do alcance das metas da parceria no curso das ações de monitoramento e avaliação de que trata o art. 51 do Decreto n.º 8.726, de 2016; ou</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 for aceita denúncia de irregularidade na execução parcial do objeto, mediante juízo de admissibilidade realizado pelo gestor.</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1"/>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prestação de contas anual será considerada regular quando, da análise do Relatório Parcial de Execução do Objeto, for constatado o alcance das metas da parceria.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rsidP="00CF576B">
      <w:pPr>
        <w:widowControl w:val="0"/>
        <w:numPr>
          <w:ilvl w:val="1"/>
          <w:numId w:val="2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 hipótese de não comprovação do alcance das metas ou quando houver evidência de existência de ato irregular, o CAU/SP notificará a Organização da Sociedade Civil para apresentar, no prazo de até trinta dias, Relatório Parcial de Execução Financeira, que deverá observar o disposto no item 4.2 do presente Manual e subsidiará a elaboração do relatório técnico de monitoramento e avaliação.</w:t>
      </w:r>
    </w:p>
    <w:p w:rsidR="008F5B4C" w:rsidRDefault="008F5B4C">
      <w:pPr>
        <w:widowControl w:val="0"/>
        <w:spacing w:after="0" w:line="240" w:lineRule="auto"/>
        <w:ind w:left="708"/>
        <w:rPr>
          <w:rFonts w:ascii="Times New Roman" w:eastAsia="Times New Roman" w:hAnsi="Times New Roman" w:cs="Times New Roman"/>
        </w:rPr>
      </w:pPr>
    </w:p>
    <w:p w:rsidR="008F5B4C" w:rsidRDefault="00CF576B" w:rsidP="00CF576B">
      <w:pPr>
        <w:widowControl w:val="0"/>
        <w:numPr>
          <w:ilvl w:val="1"/>
          <w:numId w:val="22"/>
        </w:numPr>
        <w:spacing w:after="0" w:line="240" w:lineRule="auto"/>
        <w:jc w:val="both"/>
        <w:rPr>
          <w:rFonts w:ascii="Times New Roman" w:eastAsia="Times New Roman" w:hAnsi="Times New Roman" w:cs="Times New Roman"/>
        </w:rPr>
      </w:pPr>
      <w:bookmarkStart w:id="7" w:name="bookmark=id.1ci93xb" w:colFirst="0" w:colLast="0"/>
      <w:bookmarkEnd w:id="7"/>
      <w:r>
        <w:rPr>
          <w:rFonts w:ascii="Times New Roman" w:eastAsia="Times New Roman" w:hAnsi="Times New Roman" w:cs="Times New Roman"/>
        </w:rPr>
        <w:t xml:space="preserve">  Na hipótese de o relatório técnico de monitoramento e avaliação evidenciar irregularidade ou inexecução parcial do objeto, o gestor da parceria notificará a Organização da Sociedade Civil para, no prazo de trinta dias:</w:t>
      </w:r>
    </w:p>
    <w:p w:rsidR="008F5B4C" w:rsidRDefault="008F5B4C">
      <w:pPr>
        <w:widowControl w:val="0"/>
        <w:spacing w:after="0" w:line="240" w:lineRule="auto"/>
        <w:ind w:left="708"/>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sanar a irregularidade;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II - cumprir a obrigação; ou </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III - apresentar justificativa para impossibilidade de saneamento da irregularidade ou cumprimento da obrigação.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6.10.1.  O gestor avaliará o cumprimento do disposto no item 6.10 e atualizará o relatório técnico de monitoramento e avaliação, conforme o caso.</w:t>
      </w:r>
    </w:p>
    <w:p w:rsidR="008F5B4C" w:rsidRDefault="008F5B4C">
      <w:pPr>
        <w:widowControl w:val="0"/>
        <w:spacing w:after="0" w:line="240" w:lineRule="auto"/>
        <w:ind w:left="567"/>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6.10.2.  Serão anotados no relatório técnico de monitoramento e avaliação valores relacionados a metas descumpridas sem justificativa suficiente. </w:t>
      </w:r>
    </w:p>
    <w:p w:rsidR="008F5B4C" w:rsidRDefault="008F5B4C">
      <w:pPr>
        <w:widowControl w:val="0"/>
        <w:spacing w:after="0" w:line="240" w:lineRule="auto"/>
        <w:ind w:left="567"/>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6.11. Na hipótese do item 6.10.1, se persistir irregularidade ou inexecução parcial do objeto, o relatório técnico de monitoramento e avaliação: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 - caso conclua pela continuidade da parceria, deverá determinar:</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 a devolução dos recursos financeiros relacionados à irregularidade ou inexecução apurada ou à prestação de contas não apresentada; 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b) a retenção das parcelas dos recursos, nos termos do art. 34, do Decreto n.º 8.726, de 2016; ou</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II - caso conclua pela rescisão unilateral da parceria, deverá determinar:</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 a devolução dos valores repassados relacionados à irregularidade ou inexecução apurada ou à prestação de contas não apresentada; e</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b) a instauração de tomada de contas especial, se não houver a devolução de que trata a alínea “a” no prazo determinado.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6.12. O relatório técnico de monitoramento e avaliação será submetido à comissão de monitoramento e avaliação designada, que o homologará, no prazo de até quarenta e cinco dias, contado de seu recebimento.</w:t>
      </w:r>
    </w:p>
    <w:p w:rsidR="008F5B4C" w:rsidRDefault="008F5B4C">
      <w:pPr>
        <w:widowControl w:val="0"/>
        <w:spacing w:after="0" w:line="240" w:lineRule="auto"/>
        <w:jc w:val="both"/>
        <w:rPr>
          <w:rFonts w:ascii="Times New Roman" w:eastAsia="Times New Roman" w:hAnsi="Times New Roman" w:cs="Times New Roman"/>
        </w:rPr>
      </w:pPr>
    </w:p>
    <w:p w:rsidR="008F5B4C" w:rsidRDefault="00CF576B">
      <w:pPr>
        <w:widowControl w:val="0"/>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6.12.1. O gestor da parceria deverá adotar as providências constantes do relatório técnico de monitoramento e avaliação homologado pela comissão de monitoramento e avaliação. </w:t>
      </w:r>
    </w:p>
    <w:p w:rsidR="008F5B4C" w:rsidRDefault="008F5B4C">
      <w:pPr>
        <w:widowControl w:val="0"/>
        <w:spacing w:after="0" w:line="240" w:lineRule="auto"/>
        <w:ind w:left="567"/>
        <w:jc w:val="both"/>
        <w:rPr>
          <w:rFonts w:ascii="Times New Roman" w:eastAsia="Times New Roman" w:hAnsi="Times New Roman" w:cs="Times New Roman"/>
        </w:rPr>
      </w:pPr>
    </w:p>
    <w:p w:rsidR="008F5B4C" w:rsidRDefault="00CF576B" w:rsidP="00CF576B">
      <w:pPr>
        <w:widowControl w:val="0"/>
        <w:numPr>
          <w:ilvl w:val="1"/>
          <w:numId w:val="1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As sanções previstas no Capítulo VIII, do Decreto 8.726, de 2016, poderão ser aplicadas independentemente das providências adotadas de acordo com o subitem 6.12.1. </w:t>
      </w:r>
    </w:p>
    <w:p w:rsidR="008F5B4C" w:rsidRDefault="008F5B4C">
      <w:pPr>
        <w:widowControl w:val="0"/>
        <w:spacing w:after="0" w:line="240" w:lineRule="auto"/>
        <w:ind w:left="480"/>
        <w:jc w:val="both"/>
        <w:rPr>
          <w:rFonts w:ascii="Times New Roman" w:eastAsia="Times New Roman" w:hAnsi="Times New Roman" w:cs="Times New Roman"/>
          <w:color w:val="00B050"/>
        </w:rPr>
      </w:pPr>
    </w:p>
    <w:p w:rsidR="008F5B4C" w:rsidRDefault="00CF576B">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7.  IRREGULARIDADES FREQUENTES</w:t>
      </w:r>
    </w:p>
    <w:p w:rsidR="008F5B4C" w:rsidRDefault="008F5B4C">
      <w:pPr>
        <w:widowControl w:val="0"/>
        <w:spacing w:after="0" w:line="240" w:lineRule="auto"/>
        <w:jc w:val="both"/>
        <w:rPr>
          <w:rFonts w:ascii="Times New Roman" w:eastAsia="Times New Roman" w:hAnsi="Times New Roman" w:cs="Times New Roman"/>
          <w:b/>
        </w:rPr>
      </w:pP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Saque total ou parcial dos recursos do Termo de Fomento sem levar em conta o cronograma físico-financeiro de execução do objeto; </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Saque dos recursos para pagamento de despesas em espécie, sem que haja autorização para isso e /ou justificativa;</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Utilização de recursos para finalidade diferente daquela prevista no Termo de Fomento;</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Transferência de recursos da conta corrente específica para outras contas da entidade;</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Falta de conciliação entre os débitos em conta, os pagamentos efetuados;</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Alteração do objeto do Termo de Fomento (projeto original) sem autorização prévia;</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Aquisição de bens ou execução de obras com preços superiores aos praticados no mercado;</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b/>
        </w:rPr>
      </w:pPr>
      <w:r>
        <w:rPr>
          <w:rFonts w:ascii="Times New Roman" w:eastAsia="Times New Roman" w:hAnsi="Times New Roman" w:cs="Times New Roman"/>
        </w:rPr>
        <w:t>Falta de cotação prévia de preços no mercado;</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Utilização da Logomarca sem a aprovação prévia do CAU/SP;</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Não entrega no prazo da Documentação de Habilitação Fiscal ou não comprovada ou irregular;</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Entrega do Relatório após o prazo;  </w:t>
      </w:r>
    </w:p>
    <w:p w:rsidR="008F5B4C" w:rsidRDefault="00CF576B" w:rsidP="00CF576B">
      <w:pPr>
        <w:widowControl w:val="0"/>
        <w:numPr>
          <w:ilvl w:val="0"/>
          <w:numId w:val="30"/>
        </w:numPr>
        <w:spacing w:before="120" w:after="120" w:line="240" w:lineRule="auto"/>
        <w:ind w:left="714" w:hanging="357"/>
        <w:jc w:val="both"/>
        <w:rPr>
          <w:rFonts w:ascii="Times New Roman" w:eastAsia="Times New Roman" w:hAnsi="Times New Roman" w:cs="Times New Roman"/>
        </w:rPr>
      </w:pPr>
      <w:r>
        <w:rPr>
          <w:rFonts w:ascii="Times New Roman" w:eastAsia="Times New Roman" w:hAnsi="Times New Roman" w:cs="Times New Roman"/>
        </w:rPr>
        <w:t xml:space="preserve">Não cumprimento dos itens encaminhados via notificação; </w:t>
      </w:r>
    </w:p>
    <w:p w:rsidR="008F5B4C" w:rsidRDefault="00CF576B" w:rsidP="00CF576B">
      <w:pPr>
        <w:widowControl w:val="0"/>
        <w:numPr>
          <w:ilvl w:val="0"/>
          <w:numId w:val="30"/>
        </w:numPr>
        <w:spacing w:before="120" w:after="120" w:line="240" w:lineRule="auto"/>
        <w:ind w:left="709" w:hanging="357"/>
        <w:jc w:val="both"/>
        <w:rPr>
          <w:rFonts w:ascii="Times New Roman" w:eastAsia="Times New Roman" w:hAnsi="Times New Roman" w:cs="Times New Roman"/>
        </w:rPr>
      </w:pPr>
      <w:r>
        <w:rPr>
          <w:rFonts w:ascii="Times New Roman" w:eastAsia="Times New Roman" w:hAnsi="Times New Roman" w:cs="Times New Roman"/>
        </w:rPr>
        <w:t xml:space="preserve">Na troca de representante legal (dirigente), troca de endereço da entidade ou qualquer alteração contratual, não envio da documentação para confecção de Termo Aditivo ao Termo de Fomento. </w:t>
      </w:r>
    </w:p>
    <w:p w:rsidR="008F5B4C" w:rsidRDefault="008F5B4C">
      <w:pPr>
        <w:widowControl w:val="0"/>
        <w:spacing w:after="0" w:line="240" w:lineRule="auto"/>
        <w:jc w:val="both"/>
        <w:rPr>
          <w:rFonts w:ascii="Times New Roman" w:eastAsia="Times New Roman" w:hAnsi="Times New Roman" w:cs="Times New Roman"/>
        </w:rPr>
      </w:pPr>
    </w:p>
    <w:p w:rsidR="008F5B4C" w:rsidRDefault="008F5B4C">
      <w:pPr>
        <w:rPr>
          <w:rFonts w:ascii="Times New Roman" w:eastAsia="Times New Roman" w:hAnsi="Times New Roman" w:cs="Times New Roman"/>
          <w:b/>
        </w:rPr>
      </w:pPr>
      <w:bookmarkStart w:id="8" w:name="_GoBack"/>
      <w:bookmarkEnd w:id="8"/>
    </w:p>
    <w:sectPr w:rsidR="008F5B4C" w:rsidSect="000F525A">
      <w:headerReference w:type="even" r:id="rId12"/>
      <w:headerReference w:type="default" r:id="rId13"/>
      <w:footerReference w:type="default" r:id="rId14"/>
      <w:headerReference w:type="first" r:id="rId15"/>
      <w:pgSz w:w="11900" w:h="16840"/>
      <w:pgMar w:top="1134" w:right="1134" w:bottom="1134"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E3" w:rsidRDefault="00943EE3">
      <w:pPr>
        <w:spacing w:after="0" w:line="240" w:lineRule="auto"/>
      </w:pPr>
      <w:r>
        <w:separator/>
      </w:r>
    </w:p>
  </w:endnote>
  <w:endnote w:type="continuationSeparator" w:id="0">
    <w:p w:rsidR="00943EE3" w:rsidRDefault="0094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Página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PAGE</w:instrText>
    </w:r>
    <w:r>
      <w:rPr>
        <w:rFonts w:ascii="Times New Roman" w:eastAsia="Times New Roman" w:hAnsi="Times New Roman" w:cs="Times New Roman"/>
        <w:b/>
        <w:sz w:val="24"/>
        <w:szCs w:val="24"/>
      </w:rPr>
      <w:fldChar w:fldCharType="separate"/>
    </w:r>
    <w:r w:rsidR="000F525A">
      <w:rPr>
        <w:rFonts w:ascii="Times New Roman" w:eastAsia="Times New Roman" w:hAnsi="Times New Roman" w:cs="Times New Roman"/>
        <w:b/>
        <w:noProof/>
        <w:sz w:val="24"/>
        <w:szCs w:val="24"/>
      </w:rPr>
      <w:t>1</w:t>
    </w:r>
    <w:r>
      <w:rPr>
        <w:rFonts w:ascii="Times New Roman" w:eastAsia="Times New Roman" w:hAnsi="Times New Roman" w:cs="Times New Roman"/>
        <w:b/>
        <w:sz w:val="24"/>
        <w:szCs w:val="24"/>
      </w:rPr>
      <w:fldChar w:fldCharType="end"/>
    </w:r>
    <w:r>
      <w:rPr>
        <w:rFonts w:ascii="Times New Roman" w:eastAsia="Times New Roman" w:hAnsi="Times New Roman" w:cs="Times New Roman"/>
        <w:sz w:val="24"/>
        <w:szCs w:val="24"/>
      </w:rPr>
      <w:t xml:space="preserve"> de </w:t>
    </w:r>
    <w:r>
      <w:rPr>
        <w:rFonts w:ascii="Times New Roman" w:eastAsia="Times New Roman" w:hAnsi="Times New Roman" w:cs="Times New Roman"/>
        <w:b/>
        <w:sz w:val="24"/>
        <w:szCs w:val="24"/>
      </w:rPr>
      <w:fldChar w:fldCharType="begin"/>
    </w:r>
    <w:r>
      <w:rPr>
        <w:rFonts w:ascii="Times New Roman" w:eastAsia="Times New Roman" w:hAnsi="Times New Roman" w:cs="Times New Roman"/>
        <w:b/>
        <w:sz w:val="24"/>
        <w:szCs w:val="24"/>
      </w:rPr>
      <w:instrText>NUMPAGES</w:instrText>
    </w:r>
    <w:r>
      <w:rPr>
        <w:rFonts w:ascii="Times New Roman" w:eastAsia="Times New Roman" w:hAnsi="Times New Roman" w:cs="Times New Roman"/>
        <w:b/>
        <w:sz w:val="24"/>
        <w:szCs w:val="24"/>
      </w:rPr>
      <w:fldChar w:fldCharType="separate"/>
    </w:r>
    <w:r w:rsidR="000F525A">
      <w:rPr>
        <w:rFonts w:ascii="Times New Roman" w:eastAsia="Times New Roman" w:hAnsi="Times New Roman" w:cs="Times New Roman"/>
        <w:b/>
        <w:noProof/>
        <w:sz w:val="24"/>
        <w:szCs w:val="24"/>
      </w:rPr>
      <w:t>10</w:t>
    </w:r>
    <w:r>
      <w:rPr>
        <w:rFonts w:ascii="Times New Roman" w:eastAsia="Times New Roman" w:hAnsi="Times New Roman" w:cs="Times New Roman"/>
        <w:b/>
        <w:sz w:val="24"/>
        <w:szCs w:val="24"/>
      </w:rPr>
      <w:fldChar w:fldCharType="end"/>
    </w:r>
    <w:r>
      <w:rPr>
        <w:noProof/>
        <w:lang w:val="pt-BR"/>
      </w:rPr>
      <w:drawing>
        <wp:anchor distT="0" distB="0" distL="114300" distR="114300" simplePos="0" relativeHeight="251665408" behindDoc="0" locked="0" layoutInCell="1" hidden="0" allowOverlap="1">
          <wp:simplePos x="0" y="0"/>
          <wp:positionH relativeFrom="column">
            <wp:posOffset>-914399</wp:posOffset>
          </wp:positionH>
          <wp:positionV relativeFrom="paragraph">
            <wp:posOffset>296545</wp:posOffset>
          </wp:positionV>
          <wp:extent cx="7540752" cy="198120"/>
          <wp:effectExtent l="0" t="0" r="0" b="0"/>
          <wp:wrapTopAndBottom distT="0" dist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0752" cy="19812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E3" w:rsidRDefault="00943EE3">
      <w:pPr>
        <w:spacing w:after="0" w:line="240" w:lineRule="auto"/>
      </w:pPr>
      <w:r>
        <w:separator/>
      </w:r>
    </w:p>
  </w:footnote>
  <w:footnote w:type="continuationSeparator" w:id="0">
    <w:p w:rsidR="00943EE3" w:rsidRDefault="00943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4384" behindDoc="1" locked="0" layoutInCell="1" hidden="0" allowOverlap="1">
              <wp:simplePos x="0" y="0"/>
              <wp:positionH relativeFrom="margin">
                <wp:align>center</wp:align>
              </wp:positionH>
              <wp:positionV relativeFrom="margin">
                <wp:align>center</wp:align>
              </wp:positionV>
              <wp:extent cx="8148455" cy="8148455"/>
              <wp:effectExtent l="0" t="0" r="0" b="0"/>
              <wp:wrapNone/>
              <wp:docPr id="20" name="Retângulo 20"/>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20"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rFonts w:ascii="Arial" w:eastAsia="Arial" w:hAnsi="Arial" w:cs="Arial"/>
        <w:noProof/>
        <w:sz w:val="20"/>
        <w:szCs w:val="20"/>
        <w:lang w:val="pt-BR"/>
      </w:rPr>
      <w:drawing>
        <wp:anchor distT="0" distB="0" distL="114300" distR="114300" simplePos="0" relativeHeight="251662336" behindDoc="0" locked="0" layoutInCell="1" hidden="0" allowOverlap="1">
          <wp:simplePos x="0" y="0"/>
          <wp:positionH relativeFrom="page">
            <wp:align>right</wp:align>
          </wp:positionH>
          <wp:positionV relativeFrom="page">
            <wp:align>top</wp:align>
          </wp:positionV>
          <wp:extent cx="7537450" cy="1231900"/>
          <wp:effectExtent l="0" t="0" r="0" b="0"/>
          <wp:wrapTopAndBottom distT="0" dist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37450" cy="12319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4C" w:rsidRDefault="00CF576B">
    <w:pPr>
      <w:pBdr>
        <w:top w:val="nil"/>
        <w:left w:val="nil"/>
        <w:bottom w:val="nil"/>
        <w:right w:val="nil"/>
        <w:between w:val="nil"/>
      </w:pBdr>
      <w:tabs>
        <w:tab w:val="center" w:pos="4252"/>
        <w:tab w:val="right" w:pos="8504"/>
      </w:tabs>
      <w:spacing w:after="0" w:line="240" w:lineRule="auto"/>
    </w:pPr>
    <w:r>
      <w:rPr>
        <w:noProof/>
        <w:lang w:val="pt-BR"/>
      </w:rPr>
      <mc:AlternateContent>
        <mc:Choice Requires="wpg">
          <w:drawing>
            <wp:anchor distT="0" distB="0" distL="0" distR="0" simplePos="0" relativeHeight="251663360" behindDoc="1" locked="0" layoutInCell="1" hidden="0" allowOverlap="1">
              <wp:simplePos x="0" y="0"/>
              <wp:positionH relativeFrom="margin">
                <wp:align>center</wp:align>
              </wp:positionH>
              <wp:positionV relativeFrom="margin">
                <wp:align>center</wp:align>
              </wp:positionV>
              <wp:extent cx="8148455" cy="8148455"/>
              <wp:effectExtent l="0" t="0" r="0" b="0"/>
              <wp:wrapNone/>
              <wp:docPr id="17" name="Retângulo 17"/>
              <wp:cNvGraphicFramePr/>
              <a:graphic xmlns:a="http://schemas.openxmlformats.org/drawingml/2006/main">
                <a:graphicData uri="http://schemas.microsoft.com/office/word/2010/wordprocessingShape">
                  <wps:wsp>
                    <wps:cNvSpPr/>
                    <wps:spPr>
                      <a:xfrm rot="-2700000">
                        <a:off x="2505328" y="2562705"/>
                        <a:ext cx="5681345" cy="2434590"/>
                      </a:xfrm>
                      <a:prstGeom prst="rect">
                        <a:avLst/>
                      </a:prstGeom>
                      <a:noFill/>
                      <a:ln>
                        <a:noFill/>
                      </a:ln>
                    </wps:spPr>
                    <wps:txbx>
                      <w:txbxContent>
                        <w:p w:rsidR="008F5B4C" w:rsidRDefault="00CF576B">
                          <w:pPr>
                            <w:spacing w:after="0" w:line="240" w:lineRule="auto"/>
                            <w:jc w:val="center"/>
                            <w:textDirection w:val="btLr"/>
                          </w:pPr>
                          <w:r>
                            <w:rPr>
                              <w:color w:val="C0C0C0"/>
                              <w:sz w:val="144"/>
                            </w:rPr>
                            <w:t>MINUTA</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148455" cy="8148455"/>
              <wp:effectExtent b="0" l="0" r="0" t="0"/>
              <wp:wrapNone/>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148455" cy="814845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C82"/>
    <w:multiLevelType w:val="multilevel"/>
    <w:tmpl w:val="B4129452"/>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47A5E"/>
    <w:multiLevelType w:val="multilevel"/>
    <w:tmpl w:val="5D52AF1C"/>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24F4705"/>
    <w:multiLevelType w:val="multilevel"/>
    <w:tmpl w:val="995A99C2"/>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 w15:restartNumberingAfterBreak="0">
    <w:nsid w:val="036F677F"/>
    <w:multiLevelType w:val="multilevel"/>
    <w:tmpl w:val="9312BE8A"/>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2111A7"/>
    <w:multiLevelType w:val="multilevel"/>
    <w:tmpl w:val="EEDE3D4E"/>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5" w15:restartNumberingAfterBreak="0">
    <w:nsid w:val="086664BD"/>
    <w:multiLevelType w:val="multilevel"/>
    <w:tmpl w:val="C4EAEF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94E2BE8"/>
    <w:multiLevelType w:val="multilevel"/>
    <w:tmpl w:val="3AC28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67529"/>
    <w:multiLevelType w:val="multilevel"/>
    <w:tmpl w:val="FF4465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E2A22CD"/>
    <w:multiLevelType w:val="multilevel"/>
    <w:tmpl w:val="948C4A3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90728"/>
    <w:multiLevelType w:val="multilevel"/>
    <w:tmpl w:val="9880092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0EBE4079"/>
    <w:multiLevelType w:val="multilevel"/>
    <w:tmpl w:val="3A285EA0"/>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1C5429"/>
    <w:multiLevelType w:val="multilevel"/>
    <w:tmpl w:val="D3087E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14407FC"/>
    <w:multiLevelType w:val="multilevel"/>
    <w:tmpl w:val="234099EC"/>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48739A5"/>
    <w:multiLevelType w:val="multilevel"/>
    <w:tmpl w:val="7F72D4A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9324580"/>
    <w:multiLevelType w:val="multilevel"/>
    <w:tmpl w:val="0778EAD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6A24D4"/>
    <w:multiLevelType w:val="multilevel"/>
    <w:tmpl w:val="0BFE4B3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1D4762D7"/>
    <w:multiLevelType w:val="multilevel"/>
    <w:tmpl w:val="373A1580"/>
    <w:lvl w:ilvl="0">
      <w:start w:val="1"/>
      <w:numFmt w:val="upperLetter"/>
      <w:lvlText w:val="(%1)"/>
      <w:lvlJc w:val="left"/>
      <w:pPr>
        <w:ind w:left="1005" w:hanging="6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A54300"/>
    <w:multiLevelType w:val="multilevel"/>
    <w:tmpl w:val="1E98107A"/>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21684DFC"/>
    <w:multiLevelType w:val="multilevel"/>
    <w:tmpl w:val="0C30050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9E512A"/>
    <w:multiLevelType w:val="multilevel"/>
    <w:tmpl w:val="07966F1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2587608C"/>
    <w:multiLevelType w:val="multilevel"/>
    <w:tmpl w:val="4268E8C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7FF19C4"/>
    <w:multiLevelType w:val="multilevel"/>
    <w:tmpl w:val="63F40036"/>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8487EC9"/>
    <w:multiLevelType w:val="multilevel"/>
    <w:tmpl w:val="572816B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9351F45"/>
    <w:multiLevelType w:val="multilevel"/>
    <w:tmpl w:val="91EA587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BFC2B59"/>
    <w:multiLevelType w:val="multilevel"/>
    <w:tmpl w:val="461E42D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127554"/>
    <w:multiLevelType w:val="multilevel"/>
    <w:tmpl w:val="F446D7E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2DB53A50"/>
    <w:multiLevelType w:val="multilevel"/>
    <w:tmpl w:val="79D2F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B10831"/>
    <w:multiLevelType w:val="multilevel"/>
    <w:tmpl w:val="0324EBD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15:restartNumberingAfterBreak="0">
    <w:nsid w:val="2EFB139A"/>
    <w:multiLevelType w:val="multilevel"/>
    <w:tmpl w:val="43A6B70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3A33313"/>
    <w:multiLevelType w:val="multilevel"/>
    <w:tmpl w:val="4F4EF1DC"/>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3AA39BF"/>
    <w:multiLevelType w:val="multilevel"/>
    <w:tmpl w:val="1034D8AA"/>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1" w15:restartNumberingAfterBreak="0">
    <w:nsid w:val="33FC1224"/>
    <w:multiLevelType w:val="multilevel"/>
    <w:tmpl w:val="3C1C7C84"/>
    <w:lvl w:ilvl="0">
      <w:start w:val="1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3FD3297"/>
    <w:multiLevelType w:val="multilevel"/>
    <w:tmpl w:val="33B062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5DA25A7"/>
    <w:multiLevelType w:val="multilevel"/>
    <w:tmpl w:val="66EE1DE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C4F61F5"/>
    <w:multiLevelType w:val="multilevel"/>
    <w:tmpl w:val="5C72EDFA"/>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0B47AB0"/>
    <w:multiLevelType w:val="multilevel"/>
    <w:tmpl w:val="F7A0610E"/>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193065"/>
    <w:multiLevelType w:val="multilevel"/>
    <w:tmpl w:val="C100C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86179BF"/>
    <w:multiLevelType w:val="multilevel"/>
    <w:tmpl w:val="F0A470AE"/>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C4D783D"/>
    <w:multiLevelType w:val="multilevel"/>
    <w:tmpl w:val="19448696"/>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FA4819"/>
    <w:multiLevelType w:val="multilevel"/>
    <w:tmpl w:val="76787FC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D086D66"/>
    <w:multiLevelType w:val="multilevel"/>
    <w:tmpl w:val="69FC7F48"/>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DD8229B"/>
    <w:multiLevelType w:val="multilevel"/>
    <w:tmpl w:val="7916B1F4"/>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42" w15:restartNumberingAfterBreak="0">
    <w:nsid w:val="51EA3F2D"/>
    <w:multiLevelType w:val="multilevel"/>
    <w:tmpl w:val="B42CA6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2B950B2"/>
    <w:multiLevelType w:val="multilevel"/>
    <w:tmpl w:val="233067FA"/>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45049B0"/>
    <w:multiLevelType w:val="multilevel"/>
    <w:tmpl w:val="5F6C240C"/>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303324"/>
    <w:multiLevelType w:val="multilevel"/>
    <w:tmpl w:val="3B86E2E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8493C18"/>
    <w:multiLevelType w:val="multilevel"/>
    <w:tmpl w:val="4294BA1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FF24E6"/>
    <w:multiLevelType w:val="multilevel"/>
    <w:tmpl w:val="8B6068B2"/>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B175B3A"/>
    <w:multiLevelType w:val="multilevel"/>
    <w:tmpl w:val="33A24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9" w15:restartNumberingAfterBreak="0">
    <w:nsid w:val="5DF55B49"/>
    <w:multiLevelType w:val="multilevel"/>
    <w:tmpl w:val="769A560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0" w15:restartNumberingAfterBreak="0">
    <w:nsid w:val="604869DD"/>
    <w:multiLevelType w:val="multilevel"/>
    <w:tmpl w:val="26F4E0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1" w15:restartNumberingAfterBreak="0">
    <w:nsid w:val="60AF6F48"/>
    <w:multiLevelType w:val="multilevel"/>
    <w:tmpl w:val="BCDE2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16F274D"/>
    <w:multiLevelType w:val="multilevel"/>
    <w:tmpl w:val="E0DA8CB2"/>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62291C9C"/>
    <w:multiLevelType w:val="multilevel"/>
    <w:tmpl w:val="60CE129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315434"/>
    <w:multiLevelType w:val="multilevel"/>
    <w:tmpl w:val="33F238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0BF1BA9"/>
    <w:multiLevelType w:val="multilevel"/>
    <w:tmpl w:val="C974E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6" w15:restartNumberingAfterBreak="0">
    <w:nsid w:val="71C616DD"/>
    <w:multiLevelType w:val="multilevel"/>
    <w:tmpl w:val="B94C3D6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8F344CC"/>
    <w:multiLevelType w:val="multilevel"/>
    <w:tmpl w:val="241CB27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1"/>
  </w:num>
  <w:num w:numId="2">
    <w:abstractNumId w:val="25"/>
  </w:num>
  <w:num w:numId="3">
    <w:abstractNumId w:val="14"/>
  </w:num>
  <w:num w:numId="4">
    <w:abstractNumId w:val="43"/>
  </w:num>
  <w:num w:numId="5">
    <w:abstractNumId w:val="17"/>
  </w:num>
  <w:num w:numId="6">
    <w:abstractNumId w:val="27"/>
  </w:num>
  <w:num w:numId="7">
    <w:abstractNumId w:val="22"/>
  </w:num>
  <w:num w:numId="8">
    <w:abstractNumId w:val="29"/>
  </w:num>
  <w:num w:numId="9">
    <w:abstractNumId w:val="13"/>
  </w:num>
  <w:num w:numId="10">
    <w:abstractNumId w:val="5"/>
  </w:num>
  <w:num w:numId="11">
    <w:abstractNumId w:val="18"/>
  </w:num>
  <w:num w:numId="12">
    <w:abstractNumId w:val="48"/>
  </w:num>
  <w:num w:numId="13">
    <w:abstractNumId w:val="49"/>
  </w:num>
  <w:num w:numId="14">
    <w:abstractNumId w:val="54"/>
  </w:num>
  <w:num w:numId="15">
    <w:abstractNumId w:val="55"/>
  </w:num>
  <w:num w:numId="16">
    <w:abstractNumId w:val="1"/>
  </w:num>
  <w:num w:numId="17">
    <w:abstractNumId w:val="52"/>
  </w:num>
  <w:num w:numId="18">
    <w:abstractNumId w:val="2"/>
  </w:num>
  <w:num w:numId="19">
    <w:abstractNumId w:val="24"/>
  </w:num>
  <w:num w:numId="20">
    <w:abstractNumId w:val="53"/>
  </w:num>
  <w:num w:numId="21">
    <w:abstractNumId w:val="50"/>
  </w:num>
  <w:num w:numId="22">
    <w:abstractNumId w:val="12"/>
  </w:num>
  <w:num w:numId="23">
    <w:abstractNumId w:val="8"/>
  </w:num>
  <w:num w:numId="24">
    <w:abstractNumId w:val="0"/>
  </w:num>
  <w:num w:numId="25">
    <w:abstractNumId w:val="46"/>
  </w:num>
  <w:num w:numId="26">
    <w:abstractNumId w:val="34"/>
  </w:num>
  <w:num w:numId="27">
    <w:abstractNumId w:val="7"/>
  </w:num>
  <w:num w:numId="28">
    <w:abstractNumId w:val="33"/>
  </w:num>
  <w:num w:numId="29">
    <w:abstractNumId w:val="30"/>
  </w:num>
  <w:num w:numId="30">
    <w:abstractNumId w:val="36"/>
  </w:num>
  <w:num w:numId="31">
    <w:abstractNumId w:val="42"/>
  </w:num>
  <w:num w:numId="32">
    <w:abstractNumId w:val="6"/>
  </w:num>
  <w:num w:numId="33">
    <w:abstractNumId w:val="19"/>
  </w:num>
  <w:num w:numId="34">
    <w:abstractNumId w:val="56"/>
  </w:num>
  <w:num w:numId="35">
    <w:abstractNumId w:val="4"/>
  </w:num>
  <w:num w:numId="36">
    <w:abstractNumId w:val="21"/>
  </w:num>
  <w:num w:numId="37">
    <w:abstractNumId w:val="40"/>
  </w:num>
  <w:num w:numId="38">
    <w:abstractNumId w:val="31"/>
  </w:num>
  <w:num w:numId="39">
    <w:abstractNumId w:val="26"/>
  </w:num>
  <w:num w:numId="40">
    <w:abstractNumId w:val="44"/>
  </w:num>
  <w:num w:numId="41">
    <w:abstractNumId w:val="41"/>
  </w:num>
  <w:num w:numId="42">
    <w:abstractNumId w:val="35"/>
  </w:num>
  <w:num w:numId="43">
    <w:abstractNumId w:val="16"/>
  </w:num>
  <w:num w:numId="44">
    <w:abstractNumId w:val="11"/>
  </w:num>
  <w:num w:numId="45">
    <w:abstractNumId w:val="45"/>
  </w:num>
  <w:num w:numId="46">
    <w:abstractNumId w:val="9"/>
  </w:num>
  <w:num w:numId="47">
    <w:abstractNumId w:val="28"/>
  </w:num>
  <w:num w:numId="48">
    <w:abstractNumId w:val="3"/>
  </w:num>
  <w:num w:numId="49">
    <w:abstractNumId w:val="15"/>
  </w:num>
  <w:num w:numId="50">
    <w:abstractNumId w:val="47"/>
  </w:num>
  <w:num w:numId="51">
    <w:abstractNumId w:val="57"/>
  </w:num>
  <w:num w:numId="52">
    <w:abstractNumId w:val="37"/>
  </w:num>
  <w:num w:numId="53">
    <w:abstractNumId w:val="20"/>
  </w:num>
  <w:num w:numId="54">
    <w:abstractNumId w:val="39"/>
  </w:num>
  <w:num w:numId="55">
    <w:abstractNumId w:val="32"/>
  </w:num>
  <w:num w:numId="56">
    <w:abstractNumId w:val="23"/>
  </w:num>
  <w:num w:numId="57">
    <w:abstractNumId w:val="10"/>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4C"/>
    <w:rsid w:val="000F525A"/>
    <w:rsid w:val="00734593"/>
    <w:rsid w:val="007703C4"/>
    <w:rsid w:val="008F5B4C"/>
    <w:rsid w:val="00943EE3"/>
    <w:rsid w:val="00CF576B"/>
    <w:rsid w:val="00D72F36"/>
    <w:rsid w:val="00F53323"/>
    <w:rsid w:val="00F97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0661B-0080-4C5D-BDFA-DC72C4A2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basedOn w:val="Normal"/>
    <w:link w:val="Ttulo1Char"/>
    <w:uiPriority w:val="9"/>
    <w:qFormat/>
    <w:rsid w:val="009B3DB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584238"/>
    <w:pPr>
      <w:spacing w:after="0" w:line="240" w:lineRule="auto"/>
      <w:jc w:val="center"/>
    </w:pPr>
    <w:rPr>
      <w:rFonts w:ascii="Verdana" w:eastAsia="Times New Roman" w:hAnsi="Verdana" w:cs="Times New Roman"/>
      <w:b/>
      <w:bCs/>
      <w:color w:val="auto"/>
      <w:szCs w:val="24"/>
      <w:lang w:val="x-none" w:eastAsia="x-none"/>
    </w:r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39"/>
    <w:rsid w:val="001F05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F0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055A"/>
    <w:rPr>
      <w:rFonts w:ascii="Calibri" w:eastAsia="Calibri" w:hAnsi="Calibri" w:cs="Calibri"/>
      <w:color w:val="000000"/>
    </w:rPr>
  </w:style>
  <w:style w:type="paragraph" w:styleId="Rodap">
    <w:name w:val="footer"/>
    <w:basedOn w:val="Normal"/>
    <w:link w:val="RodapChar"/>
    <w:uiPriority w:val="99"/>
    <w:unhideWhenUsed/>
    <w:rsid w:val="001F055A"/>
    <w:pPr>
      <w:tabs>
        <w:tab w:val="center" w:pos="4252"/>
        <w:tab w:val="right" w:pos="8504"/>
      </w:tabs>
      <w:spacing w:after="0" w:line="240" w:lineRule="auto"/>
    </w:pPr>
  </w:style>
  <w:style w:type="character" w:customStyle="1" w:styleId="RodapChar">
    <w:name w:val="Rodapé Char"/>
    <w:basedOn w:val="Fontepargpadro"/>
    <w:link w:val="Rodap"/>
    <w:uiPriority w:val="99"/>
    <w:rsid w:val="001F055A"/>
    <w:rPr>
      <w:rFonts w:ascii="Calibri" w:eastAsia="Calibri" w:hAnsi="Calibri" w:cs="Calibri"/>
      <w:color w:val="000000"/>
    </w:rPr>
  </w:style>
  <w:style w:type="paragraph" w:styleId="Textodebalo">
    <w:name w:val="Balloon Text"/>
    <w:basedOn w:val="Normal"/>
    <w:link w:val="TextodebaloChar"/>
    <w:uiPriority w:val="99"/>
    <w:semiHidden/>
    <w:unhideWhenUsed/>
    <w:rsid w:val="00397B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7B33"/>
    <w:rPr>
      <w:rFonts w:ascii="Segoe UI" w:eastAsia="Calibri" w:hAnsi="Segoe UI" w:cs="Segoe UI"/>
      <w:color w:val="000000"/>
      <w:sz w:val="18"/>
      <w:szCs w:val="18"/>
    </w:rPr>
  </w:style>
  <w:style w:type="character" w:customStyle="1" w:styleId="Ttulo1Char">
    <w:name w:val="Título 1 Char"/>
    <w:basedOn w:val="Fontepargpadro"/>
    <w:link w:val="Ttulo1"/>
    <w:uiPriority w:val="9"/>
    <w:rsid w:val="009B3DB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B3DB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link w:val="PargrafodaListaChar"/>
    <w:uiPriority w:val="34"/>
    <w:qFormat/>
    <w:rsid w:val="00EB2EEA"/>
    <w:pPr>
      <w:ind w:left="720"/>
      <w:contextualSpacing/>
    </w:pPr>
  </w:style>
  <w:style w:type="paragraph" w:customStyle="1" w:styleId="Ttulo11">
    <w:name w:val="Título 11"/>
    <w:basedOn w:val="Normal"/>
    <w:uiPriority w:val="1"/>
    <w:qFormat/>
    <w:rsid w:val="007E69E6"/>
    <w:pPr>
      <w:widowControl w:val="0"/>
      <w:autoSpaceDE w:val="0"/>
      <w:autoSpaceDN w:val="0"/>
      <w:spacing w:after="0" w:line="240" w:lineRule="auto"/>
      <w:ind w:left="459"/>
      <w:outlineLvl w:val="1"/>
    </w:pPr>
    <w:rPr>
      <w:rFonts w:ascii="Times New Roman" w:eastAsia="Times New Roman" w:hAnsi="Times New Roman" w:cs="Times New Roman"/>
      <w:b/>
      <w:bCs/>
      <w:color w:val="auto"/>
      <w:lang w:eastAsia="pt-PT" w:bidi="pt-PT"/>
    </w:rPr>
  </w:style>
  <w:style w:type="paragraph" w:customStyle="1" w:styleId="paragraph">
    <w:name w:val="paragraph"/>
    <w:basedOn w:val="Normal"/>
    <w:rsid w:val="00CE01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CE013B"/>
  </w:style>
  <w:style w:type="character" w:customStyle="1" w:styleId="eop">
    <w:name w:val="eop"/>
    <w:basedOn w:val="Fontepargpadro"/>
    <w:rsid w:val="00CE013B"/>
  </w:style>
  <w:style w:type="character" w:customStyle="1" w:styleId="scxw200783462">
    <w:name w:val="scxw200783462"/>
    <w:basedOn w:val="Fontepargpadro"/>
    <w:rsid w:val="00CE013B"/>
  </w:style>
  <w:style w:type="character" w:customStyle="1" w:styleId="scxw20876353">
    <w:name w:val="scxw20876353"/>
    <w:basedOn w:val="Fontepargpadro"/>
    <w:rsid w:val="00CE013B"/>
  </w:style>
  <w:style w:type="character" w:customStyle="1" w:styleId="scxw238827548">
    <w:name w:val="scxw238827548"/>
    <w:basedOn w:val="Fontepargpadro"/>
    <w:rsid w:val="001B17CA"/>
  </w:style>
  <w:style w:type="numbering" w:customStyle="1" w:styleId="Semlista1">
    <w:name w:val="Sem lista1"/>
    <w:next w:val="Semlista"/>
    <w:uiPriority w:val="99"/>
    <w:semiHidden/>
    <w:unhideWhenUsed/>
    <w:rsid w:val="00584238"/>
  </w:style>
  <w:style w:type="table" w:customStyle="1" w:styleId="Tabelacomgrade1">
    <w:name w:val="Tabela com grade1"/>
    <w:basedOn w:val="Tabelanormal"/>
    <w:next w:val="Tabelacomgrade"/>
    <w:uiPriority w:val="39"/>
    <w:rsid w:val="005842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66897971">
    <w:name w:val="scxw266897971"/>
    <w:basedOn w:val="Fontepargpadro"/>
    <w:rsid w:val="00584238"/>
  </w:style>
  <w:style w:type="paragraph" w:styleId="Recuodecorpodetexto2">
    <w:name w:val="Body Text Indent 2"/>
    <w:basedOn w:val="Normal"/>
    <w:link w:val="Recuodecorpodetexto2Char"/>
    <w:rsid w:val="00584238"/>
    <w:pPr>
      <w:spacing w:after="120" w:line="480" w:lineRule="auto"/>
      <w:ind w:left="283"/>
    </w:pPr>
    <w:rPr>
      <w:rFonts w:ascii="Times New Roman" w:eastAsia="Times New Roman" w:hAnsi="Times New Roman" w:cs="Times New Roman"/>
      <w:color w:val="auto"/>
      <w:sz w:val="24"/>
      <w:szCs w:val="24"/>
      <w:lang w:eastAsia="en-US"/>
    </w:rPr>
  </w:style>
  <w:style w:type="character" w:customStyle="1" w:styleId="Recuodecorpodetexto2Char">
    <w:name w:val="Recuo de corpo de texto 2 Char"/>
    <w:basedOn w:val="Fontepargpadro"/>
    <w:link w:val="Recuodecorpodetexto2"/>
    <w:rsid w:val="00584238"/>
    <w:rPr>
      <w:rFonts w:ascii="Times New Roman" w:eastAsia="Times New Roman" w:hAnsi="Times New Roman" w:cs="Times New Roman"/>
      <w:sz w:val="24"/>
      <w:szCs w:val="24"/>
      <w:lang w:eastAsia="en-US"/>
    </w:rPr>
  </w:style>
  <w:style w:type="character" w:customStyle="1" w:styleId="textrun">
    <w:name w:val="textrun"/>
    <w:basedOn w:val="Fontepargpadro"/>
    <w:rsid w:val="00584238"/>
  </w:style>
  <w:style w:type="character" w:customStyle="1" w:styleId="linebreakblob">
    <w:name w:val="linebreakblob"/>
    <w:basedOn w:val="Fontepargpadro"/>
    <w:rsid w:val="00584238"/>
  </w:style>
  <w:style w:type="character" w:customStyle="1" w:styleId="scxw232947324">
    <w:name w:val="scxw232947324"/>
    <w:basedOn w:val="Fontepargpadro"/>
    <w:rsid w:val="00584238"/>
  </w:style>
  <w:style w:type="paragraph" w:customStyle="1" w:styleId="padro">
    <w:name w:val="padro"/>
    <w:basedOn w:val="Normal"/>
    <w:rsid w:val="00584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tuloChar">
    <w:name w:val="Título Char"/>
    <w:basedOn w:val="Fontepargpadro"/>
    <w:link w:val="Ttulo"/>
    <w:rsid w:val="00584238"/>
    <w:rPr>
      <w:rFonts w:ascii="Verdana" w:eastAsia="Times New Roman" w:hAnsi="Verdana" w:cs="Times New Roman"/>
      <w:b/>
      <w:bCs/>
      <w:szCs w:val="24"/>
      <w:lang w:val="x-none" w:eastAsia="x-none"/>
    </w:rPr>
  </w:style>
  <w:style w:type="table" w:customStyle="1" w:styleId="Tabelacomgrade11">
    <w:name w:val="Tabela com grade11"/>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584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72136E"/>
    <w:rPr>
      <w:rFonts w:ascii="Calibri" w:eastAsia="Calibri" w:hAnsi="Calibri" w:cs="Calibri"/>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608.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4/Lei/L13019.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alto.gov.br/ccivil_03/LEIS/L9608.htm" TargetMode="External"/><Relationship Id="rId4" Type="http://schemas.openxmlformats.org/officeDocument/2006/relationships/settings" Target="settings.xml"/><Relationship Id="rId9" Type="http://schemas.openxmlformats.org/officeDocument/2006/relationships/hyperlink" Target="http://www.planalto.gov.br/ccivil_03/LEIS/L9608.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CprOn2mX9VhZxH492bC+YsUSA==">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4497</Words>
  <Characters>24290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ANTICO</dc:creator>
  <cp:lastModifiedBy>Guilherme Brito</cp:lastModifiedBy>
  <cp:revision>2</cp:revision>
  <dcterms:created xsi:type="dcterms:W3CDTF">2021-08-30T15:07:00Z</dcterms:created>
  <dcterms:modified xsi:type="dcterms:W3CDTF">2021-08-30T15:07:00Z</dcterms:modified>
</cp:coreProperties>
</file>